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74.png" ContentType="image/png"/>
  <Override PartName="/word/media/rId79.png" ContentType="image/png"/>
  <Override PartName="/word/media/rId87.svg" ContentType="image/svg+xml"/>
  <Override PartName="/word/media/rId82.svg" ContentType="image/svg+xml"/>
  <Override PartName="/word/media/rId65.svg" ContentType="image/svg+xml"/>
  <Override PartName="/word/media/rId76.svg" ContentType="image/svg+xml"/>
  <Override PartName="/word/media/rId71.svg" ContentType="image/svg+xml"/>
  <Override PartName="/word/media/image3.png" ContentType="image/png"/>
  <Override PartName="/word/media/image5.png" ContentType="image/png"/>
  <Override PartName="/word/media/image4.svg" ContentType="image/svg+xml"/>
  <Override PartName="/word/media/image2.svg" ContentType="image/svg+xml"/>
  <Override PartName="/word/media/image6.svg" ContentType="image/svg+xml"/>
  <Override PartName="/word/media/image9.png" ContentType="image/png"/>
  <Override PartName="/word/media/image10.svg" ContentType="image/svg+xml"/>
  <Override PartName="/word/media/image8.svg" ContentType="image/svg+xml"/>
  <Override PartName="/word/media/image7.png" ContentType="image/png"/>
  <Override PartName="/word/media/image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Estimated Burden of Bladder Cancer in the United States and Its States, 1990–2021: A Descriptive Analysis of the Global Burden of Disease (GBD) Study 2021</w:t>
      </w:r>
    </w:p>
    <w:p>
      <w:pPr>
        <w:pStyle w:val="Subtitle"/>
      </w:pPr>
      <w:r>
        <w:t xml:space="preserve">Burden of Bladder Cancer in the United States</w:t>
      </w:r>
    </w:p>
    <w:p>
      <w:pPr>
        <w:pStyle w:val="Author"/>
      </w:pPr>
      <w:r>
        <w:t xml:space="preserve">Alireza Sadeghi</w:t>
      </w:r>
      <w:r>
        <w:rPr>
          <w:vertAlign w:val="superscript"/>
        </w:rPr>
        <w:t xml:space="preserve">1,✉</w:t>
      </w:r>
      <w:r>
        <w:t xml:space="preserve">, Fatemeh Nouri</w:t>
      </w:r>
      <w:r>
        <w:rPr>
          <w:vertAlign w:val="superscript"/>
        </w:rPr>
        <w:t xml:space="preserve">1</w:t>
      </w:r>
      <w:r>
        <w:t xml:space="preserve">, Niloofar Dehdari Ebrahimi</w:t>
      </w:r>
      <w:r>
        <w:rPr>
          <w:vertAlign w:val="superscript"/>
        </w:rPr>
        <w:t xml:space="preserve">1</w:t>
      </w:r>
      <w:r>
        <w:t xml:space="preserve">, Ehsan Taherifard</w:t>
      </w:r>
      <w:r>
        <w:rPr>
          <w:vertAlign w:val="superscript"/>
        </w:rPr>
        <w:t xml:space="preserve">1</w:t>
      </w:r>
      <w:r>
        <w:t xml:space="preserve">, Mohammadreza Soltani</w:t>
      </w:r>
      <w:r>
        <w:rPr>
          <w:vertAlign w:val="superscript"/>
        </w:rPr>
        <w:t xml:space="preserve">3</w:t>
      </w:r>
      <w:r>
        <w:t xml:space="preserve">, Stephen B. Williams</w:t>
      </w:r>
      <w:r>
        <w:rPr>
          <w:vertAlign w:val="superscript"/>
        </w:rPr>
        <w:t xml:space="preserve">4</w:t>
      </w:r>
      <w:r>
        <w:t xml:space="preserve">, and Wassim Kassouf</w:t>
      </w:r>
      <w:r>
        <w:rPr>
          <w:vertAlign w:val="superscript"/>
        </w:rPr>
        <w:t xml:space="preserve">2,✉</w:t>
      </w:r>
    </w:p>
    <w:p>
      <w:pPr>
        <w:pStyle w:val="FirstParagraph"/>
      </w:pPr>
      <w:r>
        <w:rPr>
          <w:vertAlign w:val="superscript"/>
        </w:rPr>
        <w:t xml:space="preserve">1</w:t>
      </w:r>
      <w:r>
        <w:t xml:space="preserve"> </w:t>
      </w:r>
      <w:r>
        <w:t xml:space="preserve">Student Research Committee, Shiraz University of Medical Sciences, Shiraz, Iran</w:t>
      </w:r>
      <w:r>
        <w:br/>
      </w:r>
      <w:r>
        <w:rPr>
          <w:vertAlign w:val="superscript"/>
        </w:rPr>
        <w:t xml:space="preserve">2</w:t>
      </w:r>
      <w:r>
        <w:t xml:space="preserve"> </w:t>
      </w:r>
      <w:r>
        <w:t xml:space="preserve">Division of Urology, McGill University Health Center, Montreal, QC</w:t>
      </w:r>
      <w:r>
        <w:br/>
      </w:r>
      <w:r>
        <w:rPr>
          <w:vertAlign w:val="superscript"/>
        </w:rPr>
        <w:t xml:space="preserve">3</w:t>
      </w:r>
      <w:r>
        <w:t xml:space="preserve"> </w:t>
      </w:r>
      <w:r>
        <w:t xml:space="preserve">Department of Urology, Hormozgan University of Medical Sciences, Bandar Abbas, Iran</w:t>
      </w:r>
      <w:r>
        <w:br/>
      </w:r>
      <w:r>
        <w:rPr>
          <w:vertAlign w:val="superscript"/>
        </w:rPr>
        <w:t xml:space="preserve">4</w:t>
      </w:r>
      <w:r>
        <w:t xml:space="preserve"> </w:t>
      </w:r>
      <w:r>
        <w:t xml:space="preserve">Division of Urology, Department of Surgery, University of Texas Medical Branch, Galveston, TX, USA</w:t>
      </w:r>
    </w:p>
    <w:p>
      <w:pPr>
        <w:pStyle w:val="BodyText"/>
      </w:pPr>
      <w:r>
        <w:rPr>
          <w:vertAlign w:val="superscript"/>
        </w:rPr>
        <w:t xml:space="preserve">✉</w:t>
      </w:r>
      <w:r>
        <w:t xml:space="preserve"> </w:t>
      </w:r>
      <w:r>
        <w:t xml:space="preserve">Correspondence:</w:t>
      </w:r>
      <w:r>
        <w:t xml:space="preserve"> </w:t>
      </w:r>
      <w:hyperlink r:id="rId38">
        <w:r>
          <w:rPr>
            <w:rStyle w:val="Hyperlink"/>
          </w:rPr>
          <w:t xml:space="preserve">Alireza Sadeghi &lt;alireza.sadeghi.md@gmail.com&gt;</w:t>
        </w:r>
      </w:hyperlink>
      <w:r>
        <w:t xml:space="preserve">,</w:t>
      </w:r>
      <w:r>
        <w:t xml:space="preserve"> </w:t>
      </w:r>
      <w:hyperlink r:id="rId39">
        <w:r>
          <w:rPr>
            <w:rStyle w:val="Hyperlink"/>
          </w:rPr>
          <w:t xml:space="preserve">Wassim Kassouf &lt;Wassim.Kassouf.med@ssss.gouv.qc.ca&gt;</w:t>
        </w:r>
      </w:hyperlink>
    </w:p>
    <w:p>
      <w:pPr>
        <w:pStyle w:val="BodyText"/>
      </w:pPr>
      <w:r>
        <w:rPr>
          <w:b/>
          <w:bCs/>
        </w:rPr>
        <w:t xml:space="preserve">Authors contact</w:t>
      </w:r>
    </w:p>
    <w:p>
      <w:pPr>
        <w:pStyle w:val="BodyText"/>
      </w:pPr>
      <w:r>
        <w:t xml:space="preserve">Alireza Sadeghi</w:t>
      </w:r>
    </w:p>
    <w:p>
      <w:pPr>
        <w:numPr>
          <w:ilvl w:val="0"/>
          <w:numId w:val="1001"/>
        </w:numPr>
      </w:pPr>
      <w:r>
        <w:t xml:space="preserve">Email</w:t>
      </w:r>
      <w:r>
        <w:t xml:space="preserve"> </w:t>
      </w:r>
      <w:hyperlink r:id="rId38">
        <w:r>
          <w:rPr>
            <w:rStyle w:val="Hyperlink"/>
          </w:rPr>
          <w:t xml:space="preserve">alireza.sadeghi.md@gmail.com</w:t>
        </w:r>
      </w:hyperlink>
    </w:p>
    <w:p>
      <w:pPr>
        <w:numPr>
          <w:ilvl w:val="0"/>
          <w:numId w:val="1001"/>
        </w:numPr>
      </w:pPr>
      <w:r>
        <w:t xml:space="preserve">ORCID</w:t>
      </w:r>
      <w:r>
        <w:t xml:space="preserve"> </w:t>
      </w:r>
      <w:hyperlink r:id="rId40">
        <w:r>
          <w:rPr>
            <w:rStyle w:val="Hyperlink"/>
          </w:rPr>
          <w:t xml:space="preserve">0000-0002-7950-3270</w:t>
        </w:r>
      </w:hyperlink>
    </w:p>
    <w:p>
      <w:pPr>
        <w:pStyle w:val="FirstParagraph"/>
      </w:pPr>
      <w:r>
        <w:t xml:space="preserve">Fatemeh Nouri</w:t>
      </w:r>
    </w:p>
    <w:p>
      <w:pPr>
        <w:numPr>
          <w:ilvl w:val="0"/>
          <w:numId w:val="1002"/>
        </w:numPr>
      </w:pPr>
      <w:r>
        <w:t xml:space="preserve">Email</w:t>
      </w:r>
      <w:r>
        <w:t xml:space="preserve"> </w:t>
      </w:r>
      <w:hyperlink r:id="rId41">
        <w:r>
          <w:rPr>
            <w:rStyle w:val="Hyperlink"/>
          </w:rPr>
          <w:t xml:space="preserve">nouri.fatmh@gmail.com</w:t>
        </w:r>
      </w:hyperlink>
    </w:p>
    <w:p>
      <w:pPr>
        <w:numPr>
          <w:ilvl w:val="0"/>
          <w:numId w:val="1002"/>
        </w:numPr>
      </w:pPr>
      <w:r>
        <w:t xml:space="preserve">ORCID</w:t>
      </w:r>
      <w:r>
        <w:t xml:space="preserve"> </w:t>
      </w:r>
      <w:hyperlink r:id="rId42">
        <w:r>
          <w:rPr>
            <w:rStyle w:val="Hyperlink"/>
          </w:rPr>
          <w:t xml:space="preserve">0000-0002-4878-7848</w:t>
        </w:r>
      </w:hyperlink>
    </w:p>
    <w:p>
      <w:pPr>
        <w:pStyle w:val="FirstParagraph"/>
      </w:pPr>
      <w:r>
        <w:t xml:space="preserve">Niloofar Dehdari Ebrahimi</w:t>
      </w:r>
    </w:p>
    <w:p>
      <w:pPr>
        <w:numPr>
          <w:ilvl w:val="0"/>
          <w:numId w:val="1003"/>
        </w:numPr>
      </w:pPr>
      <w:r>
        <w:t xml:space="preserve">Email</w:t>
      </w:r>
      <w:r>
        <w:t xml:space="preserve"> </w:t>
      </w:r>
      <w:hyperlink r:id="rId43">
        <w:r>
          <w:rPr>
            <w:rStyle w:val="Hyperlink"/>
          </w:rPr>
          <w:t xml:space="preserve">niloofar.dehdari6021@gmail.com</w:t>
        </w:r>
      </w:hyperlink>
    </w:p>
    <w:p>
      <w:pPr>
        <w:numPr>
          <w:ilvl w:val="0"/>
          <w:numId w:val="1003"/>
        </w:numPr>
      </w:pPr>
      <w:r>
        <w:t xml:space="preserve">ORCID</w:t>
      </w:r>
      <w:r>
        <w:t xml:space="preserve"> </w:t>
      </w:r>
      <w:hyperlink r:id="rId44">
        <w:r>
          <w:rPr>
            <w:rStyle w:val="Hyperlink"/>
          </w:rPr>
          <w:t xml:space="preserve">0000-0002-9866-8361</w:t>
        </w:r>
      </w:hyperlink>
    </w:p>
    <w:p>
      <w:pPr>
        <w:pStyle w:val="FirstParagraph"/>
      </w:pPr>
      <w:r>
        <w:t xml:space="preserve">Ehsan Taherifard</w:t>
      </w:r>
    </w:p>
    <w:p>
      <w:pPr>
        <w:numPr>
          <w:ilvl w:val="0"/>
          <w:numId w:val="1004"/>
        </w:numPr>
      </w:pPr>
      <w:r>
        <w:t xml:space="preserve">Email</w:t>
      </w:r>
      <w:r>
        <w:t xml:space="preserve"> </w:t>
      </w:r>
      <w:hyperlink r:id="rId45">
        <w:r>
          <w:rPr>
            <w:rStyle w:val="Hyperlink"/>
          </w:rPr>
          <w:t xml:space="preserve">etaherim123@gmail.com</w:t>
        </w:r>
      </w:hyperlink>
    </w:p>
    <w:p>
      <w:pPr>
        <w:numPr>
          <w:ilvl w:val="0"/>
          <w:numId w:val="1004"/>
        </w:numPr>
      </w:pPr>
      <w:r>
        <w:t xml:space="preserve">ORCID</w:t>
      </w:r>
      <w:r>
        <w:t xml:space="preserve"> </w:t>
      </w:r>
      <w:hyperlink r:id="rId46">
        <w:r>
          <w:rPr>
            <w:rStyle w:val="Hyperlink"/>
          </w:rPr>
          <w:t xml:space="preserve">0000-0002-8438-4990</w:t>
        </w:r>
      </w:hyperlink>
    </w:p>
    <w:p>
      <w:pPr>
        <w:pStyle w:val="FirstParagraph"/>
      </w:pPr>
      <w:r>
        <w:t xml:space="preserve">Mohammadreza Soltani</w:t>
      </w:r>
    </w:p>
    <w:p>
      <w:pPr>
        <w:numPr>
          <w:ilvl w:val="0"/>
          <w:numId w:val="1005"/>
        </w:numPr>
      </w:pPr>
      <w:r>
        <w:t xml:space="preserve">Email</w:t>
      </w:r>
      <w:r>
        <w:t xml:space="preserve"> </w:t>
      </w:r>
      <w:hyperlink r:id="rId47">
        <w:r>
          <w:rPr>
            <w:rStyle w:val="Hyperlink"/>
          </w:rPr>
          <w:t xml:space="preserve">soltani732003@yahoo.com</w:t>
        </w:r>
      </w:hyperlink>
    </w:p>
    <w:p>
      <w:pPr>
        <w:numPr>
          <w:ilvl w:val="0"/>
          <w:numId w:val="1005"/>
        </w:numPr>
      </w:pPr>
      <w:r>
        <w:t xml:space="preserve">ORCID</w:t>
      </w:r>
      <w:r>
        <w:t xml:space="preserve"> </w:t>
      </w:r>
      <w:hyperlink r:id="rId48"/>
    </w:p>
    <w:p>
      <w:pPr>
        <w:pStyle w:val="FirstParagraph"/>
      </w:pPr>
      <w:r>
        <w:t xml:space="preserve">Stephen B. Williams</w:t>
      </w:r>
    </w:p>
    <w:p>
      <w:pPr>
        <w:numPr>
          <w:ilvl w:val="0"/>
          <w:numId w:val="1006"/>
        </w:numPr>
      </w:pPr>
      <w:r>
        <w:t xml:space="preserve">Email</w:t>
      </w:r>
      <w:r>
        <w:t xml:space="preserve"> </w:t>
      </w:r>
      <w:hyperlink r:id="rId49">
        <w:r>
          <w:rPr>
            <w:rStyle w:val="Hyperlink"/>
          </w:rPr>
          <w:t xml:space="preserve">stbwilli@utmb.edu</w:t>
        </w:r>
      </w:hyperlink>
    </w:p>
    <w:p>
      <w:pPr>
        <w:numPr>
          <w:ilvl w:val="0"/>
          <w:numId w:val="1006"/>
        </w:numPr>
      </w:pPr>
      <w:r>
        <w:t xml:space="preserve">ORCID</w:t>
      </w:r>
      <w:r>
        <w:t xml:space="preserve"> </w:t>
      </w:r>
      <w:hyperlink r:id="rId50">
        <w:r>
          <w:rPr>
            <w:rStyle w:val="Hyperlink"/>
          </w:rPr>
          <w:t xml:space="preserve">0000-0002-2683-2185</w:t>
        </w:r>
      </w:hyperlink>
    </w:p>
    <w:p>
      <w:pPr>
        <w:pStyle w:val="FirstParagraph"/>
      </w:pPr>
      <w:r>
        <w:t xml:space="preserve">Wassim Kassouf</w:t>
      </w:r>
    </w:p>
    <w:p>
      <w:pPr>
        <w:numPr>
          <w:ilvl w:val="0"/>
          <w:numId w:val="1007"/>
        </w:numPr>
      </w:pPr>
      <w:r>
        <w:t xml:space="preserve">Email</w:t>
      </w:r>
      <w:r>
        <w:t xml:space="preserve"> </w:t>
      </w:r>
      <w:hyperlink r:id="rId39">
        <w:r>
          <w:rPr>
            <w:rStyle w:val="Hyperlink"/>
          </w:rPr>
          <w:t xml:space="preserve">Wassim.Kassouf.med@ssss.gouv.qc.ca</w:t>
        </w:r>
      </w:hyperlink>
    </w:p>
    <w:p>
      <w:pPr>
        <w:numPr>
          <w:ilvl w:val="0"/>
          <w:numId w:val="1007"/>
        </w:numPr>
      </w:pPr>
      <w:r>
        <w:t xml:space="preserve">ORCID</w:t>
      </w:r>
      <w:r>
        <w:t xml:space="preserve"> </w:t>
      </w:r>
      <w:hyperlink r:id="rId51">
        <w:r>
          <w:rPr>
            <w:rStyle w:val="Hyperlink"/>
          </w:rPr>
          <w:t xml:space="preserve">0000-0002-8350-0531</w:t>
        </w:r>
      </w:hyperlink>
    </w:p>
    <w:p>
      <w:r>
        <w:br w:type="page"/>
      </w:r>
    </w:p>
    <w:bookmarkStart w:id="53" w:name="abstract"/>
    <w:p>
      <w:pPr>
        <w:pStyle w:val="Heading1"/>
      </w:pPr>
      <w:r>
        <w:t xml:space="preserve">1. Abstract</w:t>
      </w:r>
    </w:p>
    <w:p>
      <w:pPr>
        <w:pStyle w:val="FirstParagraph"/>
      </w:pPr>
      <w:r>
        <w:rPr>
          <w:b/>
          <w:bCs/>
        </w:rPr>
        <w:t xml:space="preserve">Background:</w:t>
      </w:r>
      <w:r>
        <w:t xml:space="preserve"> </w:t>
      </w:r>
      <w:r>
        <w:t xml:space="preserve">Bladder cancer (BC) is a common malignancy with substantial morbidity, mortality and</w:t>
      </w:r>
      <w:r>
        <w:t xml:space="preserve"> </w:t>
      </w:r>
      <w:r>
        <w:t xml:space="preserve">health-care cost, but comparable, state-level estimates of its burden and of sex differences in the</w:t>
      </w:r>
      <w:r>
        <w:t xml:space="preserve"> </w:t>
      </w:r>
      <w:r>
        <w:t xml:space="preserve">U.S. are limited.</w:t>
      </w:r>
      <w:r>
        <w:br/>
      </w:r>
      <w:r>
        <w:rPr>
          <w:b/>
          <w:bCs/>
        </w:rPr>
        <w:t xml:space="preserve">Aim:</w:t>
      </w:r>
      <w:r>
        <w:t xml:space="preserve"> </w:t>
      </w:r>
      <w:r>
        <w:t xml:space="preserve">To describe Global Burden of Disease (GBD) 2021 estimates of BC incidence, prevalence,</w:t>
      </w:r>
      <w:r>
        <w:t xml:space="preserve"> </w:t>
      </w:r>
      <w:r>
        <w:t xml:space="preserve">mortality, disability-adjusted life years (DALYs), years lived with disability (YLDs) and years of</w:t>
      </w:r>
      <w:r>
        <w:t xml:space="preserve"> </w:t>
      </w:r>
      <w:r>
        <w:t xml:space="preserve">life lost (YLLs) in the U.S. and its states, their change over time, and male-to-female differences.</w:t>
      </w:r>
      <w:r>
        <w:t xml:space="preserve"> </w:t>
      </w:r>
      <w:r>
        <w:t xml:space="preserve">This is a descriptive analysis of modelled estimates; it does not test causes or policy effects.</w:t>
      </w:r>
      <w:r>
        <w:br/>
      </w:r>
      <w:r>
        <w:rPr>
          <w:b/>
          <w:bCs/>
        </w:rPr>
        <w:t xml:space="preserve">Methods:</w:t>
      </w:r>
      <w:r>
        <w:t xml:space="preserve"> </w:t>
      </w:r>
      <w:r>
        <w:t xml:space="preserve">We extracted age-standardized rates (ASRs; per 100,000) with 95% uncertainty intervals</w:t>
      </w:r>
      <w:r>
        <w:t xml:space="preserve"> </w:t>
      </w:r>
      <w:r>
        <w:t xml:space="preserve">(UIs) from GBD 2021 for the U.S., the 50 states and the District of Columbia, and for the European</w:t>
      </w:r>
      <w:r>
        <w:t xml:space="preserve"> </w:t>
      </w:r>
      <w:r>
        <w:t xml:space="preserve">Union, high-income and high-SDI aggregates (which include the U.S.). Series cover 1990–2021 (deaths</w:t>
      </w:r>
      <w:r>
        <w:t xml:space="preserve"> </w:t>
      </w:r>
      <w:r>
        <w:t xml:space="preserve">and YLLs also 1980–2021). Percent changes (1990–2021) and male:female rate ratios (2021) were</w:t>
      </w:r>
      <w:r>
        <w:t xml:space="preserve"> </w:t>
      </w:r>
      <w:r>
        <w:t xml:space="preserve">derived from published point estimates and UIs under approximating assumptions. The final version and</w:t>
      </w:r>
      <w:r>
        <w:t xml:space="preserve"> </w:t>
      </w:r>
      <w:r>
        <w:t xml:space="preserve">code of this study are also available from</w:t>
      </w:r>
      <w:r>
        <w:t xml:space="preserve"> </w:t>
      </w:r>
      <w:hyperlink r:id="rId52">
        <w:r>
          <w:rPr>
            <w:rStyle w:val="Hyperlink"/>
          </w:rPr>
          <w:t xml:space="preserve">bladder-cancer.ir</w:t>
        </w:r>
      </w:hyperlink>
      <w:r>
        <w:t xml:space="preserve">.</w:t>
      </w:r>
      <w:r>
        <w:br/>
      </w:r>
      <w:r>
        <w:rPr>
          <w:b/>
          <w:bCs/>
        </w:rPr>
        <w:t xml:space="preserve">Results:</w:t>
      </w:r>
      <w:r>
        <w:t xml:space="preserve"> </w:t>
      </w:r>
      <w:r>
        <w:t xml:space="preserve">In 2021, the U.S. ASR of BC incidence was 14.7 [13.6, 15.4] per 100,000 (men 24.0 [22.4, 25.2]; women</w:t>
      </w:r>
      <w:r>
        <w:t xml:space="preserve"> </w:t>
      </w:r>
      <w:r>
        <w:t xml:space="preserve">7.1 [6.3, 7.4]) and the ASR of mortality was 3.4 [3.0, 3.6] per 100,000 (men 5.8 [5.2, 6.1]; women 1.7 [1.4, 1.8]);</w:t>
      </w:r>
      <w:r>
        <w:t xml:space="preserve"> </w:t>
      </w:r>
      <w:r>
        <w:t xml:space="preserve">DALYs were 68.1 [62.7, 72.5] per 100,000. Compared with 1990, the 2021 ASR changed by +3.6% [−3.7%, +11.4%] for</w:t>
      </w:r>
      <w:r>
        <w:t xml:space="preserve"> </w:t>
      </w:r>
      <w:r>
        <w:t xml:space="preserve">incidence, −3.0% [−12.8%, +7.9%] for mortality and −8.6% [−16.4%, −0.1%] for DALYs (percent change</w:t>
      </w:r>
      <w:r>
        <w:t xml:space="preserve"> </w:t>
      </w:r>
      <w:r>
        <w:t xml:space="preserve">[approximate 95% UI]). State-level male:female incidence rate ratios in 2021 ranged from</w:t>
      </w:r>
      <w:r>
        <w:t xml:space="preserve"> </w:t>
      </w:r>
      <w:r>
        <w:t xml:space="preserve">2.5 to 4.1 (point estimates); the approximate UIs</w:t>
      </w:r>
      <w:r>
        <w:t xml:space="preserve"> </w:t>
      </w:r>
      <w:r>
        <w:t xml:space="preserve">of the lowest and highest jurisdictions overlapped, and the published UIs of the</w:t>
      </w:r>
      <w:r>
        <w:t xml:space="preserve"> </w:t>
      </w:r>
      <w:r>
        <w:t xml:space="preserve">2021 incidence ASR overlapped for 97% of all pairs of jurisdictions, so rankings should be</w:t>
      </w:r>
      <w:r>
        <w:t xml:space="preserve"> </w:t>
      </w:r>
      <w:r>
        <w:t xml:space="preserve">interpreted cautiously.</w:t>
      </w:r>
      <w:r>
        <w:br/>
      </w:r>
      <w:r>
        <w:rPr>
          <w:b/>
          <w:bCs/>
        </w:rPr>
        <w:t xml:space="preserve">Conclusion:</w:t>
      </w:r>
      <w:r>
        <w:t xml:space="preserve"> </w:t>
      </w:r>
      <w:r>
        <w:t xml:space="preserve">GBD 2021 estimates show a male excess in BC burden and variation across U.S. states</w:t>
      </w:r>
      <w:r>
        <w:t xml:space="preserve"> </w:t>
      </w:r>
      <w:r>
        <w:t xml:space="preserve">and over time. Because these are modelled, descriptive estimates, they do not identify the causes of</w:t>
      </w:r>
      <w:r>
        <w:t xml:space="preserve"> </w:t>
      </w:r>
      <w:r>
        <w:t xml:space="preserve">the differences; hypotheses about exposures, health-care access and policy require study designs</w:t>
      </w:r>
      <w:r>
        <w:t xml:space="preserve"> </w:t>
      </w:r>
      <w:r>
        <w:t xml:space="preserve">that measure them.</w:t>
      </w:r>
    </w:p>
    <w:p>
      <w:pPr>
        <w:pStyle w:val="BodyText"/>
      </w:pPr>
      <w:r>
        <w:rPr>
          <w:b/>
          <w:bCs/>
        </w:rPr>
        <w:t xml:space="preserve">Keywords:</w:t>
      </w:r>
      <w:r>
        <w:t xml:space="preserve"> </w:t>
      </w:r>
      <w:r>
        <w:rPr>
          <w:i/>
          <w:iCs/>
        </w:rPr>
        <w:t xml:space="preserve">bladder cancer; global burden of disease; United States of America; incidence; mortality; prevalence</w:t>
      </w:r>
    </w:p>
    <w:p>
      <w:r>
        <w:br w:type="page"/>
      </w:r>
    </w:p>
    <w:bookmarkEnd w:id="53"/>
    <w:bookmarkStart w:id="54" w:name="introduction"/>
    <w:p>
      <w:pPr>
        <w:pStyle w:val="Heading1"/>
      </w:pPr>
      <w:r>
        <w:t xml:space="preserve">2. Introduction</w:t>
      </w:r>
    </w:p>
    <w:p>
      <w:pPr>
        <w:pStyle w:val="FirstParagraph"/>
      </w:pPr>
      <w:r>
        <w:t xml:space="preserve">Bladder cancer (BC) is among the most commonly diagnosed cancers in the U.S. The American Cancer</w:t>
      </w:r>
      <w:r>
        <w:t xml:space="preserve"> </w:t>
      </w:r>
      <w:r>
        <w:t xml:space="preserve">Society projects approximately 84,530 new cases and 17,870 deaths from BC in 2026</w:t>
      </w:r>
      <w:r>
        <w:t xml:space="preserve"> </w:t>
      </w:r>
      <w:r>
        <w:t xml:space="preserve">(1)</w:t>
      </w:r>
      <w:r>
        <w:t xml:space="preserve">, and BC is the tenth leading cause of cancer death</w:t>
      </w:r>
      <w:r>
        <w:t xml:space="preserve"> </w:t>
      </w:r>
      <w:r>
        <w:t xml:space="preserve">(1,2)</w:t>
      </w:r>
      <w:r>
        <w:t xml:space="preserve">. It is considerably more common in men than in women</w:t>
      </w:r>
      <w:r>
        <w:t xml:space="preserve"> </w:t>
      </w:r>
      <w:r>
        <w:t xml:space="preserve">(3)</w:t>
      </w:r>
      <w:r>
        <w:t xml:space="preserve">. Globally, the</w:t>
      </w:r>
      <w:r>
        <w:t xml:space="preserve"> </w:t>
      </w:r>
      <w:r>
        <w:t xml:space="preserve">absolute burden of BC is increasing despite declining age-standardized rates</w:t>
      </w:r>
      <w:r>
        <w:t xml:space="preserve"> </w:t>
      </w:r>
      <w:r>
        <w:t xml:space="preserve">(4)</w:t>
      </w:r>
      <w:r>
        <w:t xml:space="preserve">.</w:t>
      </w:r>
    </w:p>
    <w:p>
      <w:pPr>
        <w:pStyle w:val="BodyText"/>
      </w:pPr>
      <w:r>
        <w:t xml:space="preserve">Beyond its epidemiological impact, BC imposes a substantial economic burden. Its management commonly</w:t>
      </w:r>
      <w:r>
        <w:t xml:space="preserve"> </w:t>
      </w:r>
      <w:r>
        <w:t xml:space="preserve">requires lifelong surveillance and repeated therapeutic interventions, and BC has been described as</w:t>
      </w:r>
      <w:r>
        <w:t xml:space="preserve"> </w:t>
      </w:r>
      <w:r>
        <w:t xml:space="preserve">the most costly cancer to treat on a per-patient lifetime basis</w:t>
      </w:r>
      <w:r>
        <w:t xml:space="preserve"> </w:t>
      </w:r>
      <w:r>
        <w:t xml:space="preserve">(5–7)</w:t>
      </w:r>
      <w:r>
        <w:t xml:space="preserve">. In addition to</w:t>
      </w:r>
      <w:r>
        <w:t xml:space="preserve"> </w:t>
      </w:r>
      <w:r>
        <w:t xml:space="preserve">direct healthcare expenditures, BC affects patients’ quality of life and the emotional, social, and</w:t>
      </w:r>
      <w:r>
        <w:t xml:space="preserve"> </w:t>
      </w:r>
      <w:r>
        <w:t xml:space="preserve">practical well-being of caregivers and families</w:t>
      </w:r>
      <w:r>
        <w:t xml:space="preserve"> </w:t>
      </w:r>
      <w:r>
        <w:t xml:space="preserve">(8)</w:t>
      </w:r>
      <w:r>
        <w:t xml:space="preserve">.</w:t>
      </w:r>
    </w:p>
    <w:p>
      <w:pPr>
        <w:pStyle w:val="BodyText"/>
      </w:pPr>
      <w:r>
        <w:t xml:space="preserve">Substantial geographic heterogeneity in BC incidence and outcomes has been documented across the</w:t>
      </w:r>
      <w:r>
        <w:t xml:space="preserve"> </w:t>
      </w:r>
      <w:r>
        <w:t xml:space="preserve">U.S.</w:t>
      </w:r>
      <w:r>
        <w:t xml:space="preserve"> </w:t>
      </w:r>
      <w:r>
        <w:t xml:space="preserve">(9–12)</w:t>
      </w:r>
      <w:r>
        <w:t xml:space="preserve">. For instance, Maine reported an age-standardized incidence rate</w:t>
      </w:r>
      <w:r>
        <w:t xml:space="preserve"> </w:t>
      </w:r>
      <w:r>
        <w:t xml:space="preserve">of 26.7 per 100,000 during 2017–2021, nearly double that observed in Hawaii (13.4)</w:t>
      </w:r>
      <w:r>
        <w:t xml:space="preserve"> </w:t>
      </w:r>
      <w:r>
        <w:t xml:space="preserve">(13)</w:t>
      </w:r>
      <w:r>
        <w:t xml:space="preserve">.</w:t>
      </w:r>
      <w:r>
        <w:t xml:space="preserve"> </w:t>
      </w:r>
      <w:r>
        <w:t xml:space="preserve">Registry-based reports describe the highest incidence in northeastern states</w:t>
      </w:r>
      <w:r>
        <w:t xml:space="preserve"> </w:t>
      </w:r>
      <w:r>
        <w:t xml:space="preserve">(11)</w:t>
      </w:r>
      <w:r>
        <w:t xml:space="preserve"> </w:t>
      </w:r>
      <w:r>
        <w:t xml:space="preserve">and</w:t>
      </w:r>
      <w:r>
        <w:t xml:space="preserve"> </w:t>
      </w:r>
      <w:r>
        <w:t xml:space="preserve">disproportionately high mortality in Southern states</w:t>
      </w:r>
      <w:r>
        <w:t xml:space="preserve"> </w:t>
      </w:r>
      <w:r>
        <w:t xml:space="preserve">(14)</w:t>
      </w:r>
      <w:r>
        <w:t xml:space="preserve">; proposed explanations include</w:t>
      </w:r>
      <w:r>
        <w:t xml:space="preserve"> </w:t>
      </w:r>
      <w:r>
        <w:t xml:space="preserve">differences in environmental exposures, socioeconomic conditions, age and racial composition,</w:t>
      </w:r>
      <w:r>
        <w:t xml:space="preserve"> </w:t>
      </w:r>
      <w:r>
        <w:t xml:space="preserve">rurality, and access to care</w:t>
      </w:r>
      <w:r>
        <w:t xml:space="preserve"> </w:t>
      </w:r>
      <w:r>
        <w:t xml:space="preserve">(15)</w:t>
      </w:r>
      <w:r>
        <w:t xml:space="preserve">.</w:t>
      </w:r>
    </w:p>
    <w:p>
      <w:pPr>
        <w:pStyle w:val="BodyText"/>
      </w:pPr>
      <w:r>
        <w:t xml:space="preserve">Despite these observations, most prior BC research has focused on national trends or</w:t>
      </w:r>
      <w:r>
        <w:t xml:space="preserve"> </w:t>
      </w:r>
      <w:r>
        <w:t xml:space="preserve">single-institution cohorts, and contemporary, age-standardized, state-level comparisons remain</w:t>
      </w:r>
      <w:r>
        <w:t xml:space="preserve"> </w:t>
      </w:r>
      <w:r>
        <w:t xml:space="preserve">limited. Although the GBD project produces estimates of disability-adjusted life years (DALYs),</w:t>
      </w:r>
      <w:r>
        <w:t xml:space="preserve"> </w:t>
      </w:r>
      <w:r>
        <w:t xml:space="preserve">years lived with disability (YLDs), and years of life lost (YLLs) for BC, these measures have rarely</w:t>
      </w:r>
      <w:r>
        <w:t xml:space="preserve"> </w:t>
      </w:r>
      <w:r>
        <w:t xml:space="preserve">been used in disease-specific descriptions of the U.S. National studies indicate that men have</w:t>
      </w:r>
      <w:r>
        <w:t xml:space="preserve"> </w:t>
      </w:r>
      <w:r>
        <w:t xml:space="preserve">approximately three to four times higher BC incidence than women</w:t>
      </w:r>
      <w:r>
        <w:t xml:space="preserve"> </w:t>
      </w:r>
      <w:r>
        <w:t xml:space="preserve">(3)</w:t>
      </w:r>
      <w:r>
        <w:t xml:space="preserve">, whereas women often</w:t>
      </w:r>
      <w:r>
        <w:t xml:space="preserve"> </w:t>
      </w:r>
      <w:r>
        <w:t xml:space="preserve">present with more advanced disease and have poorer survival</w:t>
      </w:r>
      <w:r>
        <w:t xml:space="preserve"> </w:t>
      </w:r>
      <w:r>
        <w:t xml:space="preserve">(16)</w:t>
      </w:r>
      <w:r>
        <w:t xml:space="preserve">; the geographic distribution of</w:t>
      </w:r>
      <w:r>
        <w:t xml:space="preserve"> </w:t>
      </w:r>
      <w:r>
        <w:t xml:space="preserve">sex differences has not, to our knowledge, been described systematically at the state level.</w:t>
      </w:r>
    </w:p>
    <w:p>
      <w:pPr>
        <w:pStyle w:val="BodyText"/>
      </w:pPr>
      <w:r>
        <w:t xml:space="preserve">We therefore used GBD 2021 estimates, which provide internally consistent, modelled estimates of key</w:t>
      </w:r>
      <w:r>
        <w:t xml:space="preserve"> </w:t>
      </w:r>
      <w:r>
        <w:t xml:space="preserve">BC burden measures for all U.S. states, to describe (i) the estimated burden of BC in the U.S. and</w:t>
      </w:r>
      <w:r>
        <w:t xml:space="preserve"> </w:t>
      </w:r>
      <w:r>
        <w:t xml:space="preserve">its states over time, benchmarked against comparator regions; (ii) its age and sex patterns; and</w:t>
      </w:r>
      <w:r>
        <w:t xml:space="preserve"> </w:t>
      </w:r>
      <w:r>
        <w:t xml:space="preserve">(iii) male-to-female differences across states. The analysis is descriptive. It does not evaluate</w:t>
      </w:r>
      <w:r>
        <w:t xml:space="preserve"> </w:t>
      </w:r>
      <w:r>
        <w:t xml:space="preserve">health policies, exposures, or their effects.</w:t>
      </w:r>
    </w:p>
    <w:bookmarkEnd w:id="54"/>
    <w:bookmarkStart w:id="64" w:name="methodology"/>
    <w:p>
      <w:pPr>
        <w:pStyle w:val="Heading1"/>
      </w:pPr>
      <w:r>
        <w:t xml:space="preserve">3. Methodology</w:t>
      </w:r>
    </w:p>
    <w:bookmarkStart w:id="56" w:name="sec-study-design"/>
    <w:p>
      <w:pPr>
        <w:pStyle w:val="Heading2"/>
      </w:pPr>
      <w:r>
        <w:t xml:space="preserve">3.1 Study design and data sources</w:t>
      </w:r>
    </w:p>
    <w:p>
      <w:pPr>
        <w:pStyle w:val="FirstParagraph"/>
      </w:pPr>
      <w:r>
        <w:t xml:space="preserve">This is a descriptive, secondary analysis of publicly available GBD 2021 estimates. GBD produces</w:t>
      </w:r>
      <w:r>
        <w:t xml:space="preserve"> </w:t>
      </w:r>
      <w:r>
        <w:t xml:space="preserve">modelled estimates for diseases and injuries by age, sex, location and year, which allows</w:t>
      </w:r>
      <w:r>
        <w:t xml:space="preserve"> </w:t>
      </w:r>
      <w:r>
        <w:t xml:space="preserve">standardized comparison across U.S. states and over time</w:t>
      </w:r>
      <w:r>
        <w:t xml:space="preserve"> </w:t>
      </w:r>
      <w:r>
        <w:t xml:space="preserve">(17,18)</w:t>
      </w:r>
      <w:r>
        <w:t xml:space="preserve">. Estimates</w:t>
      </w:r>
      <w:r>
        <w:t xml:space="preserve"> </w:t>
      </w:r>
      <w:r>
        <w:t xml:space="preserve">were downloaded from the</w:t>
      </w:r>
      <w:r>
        <w:t xml:space="preserve"> </w:t>
      </w:r>
      <w:hyperlink r:id="rId55">
        <w:r>
          <w:rPr>
            <w:rStyle w:val="Hyperlink"/>
          </w:rPr>
          <w:t xml:space="preserve">Global Health Data Exchange (GHDx) GBD Results</w:t>
        </w:r>
        <w:r>
          <w:rPr>
            <w:rStyle w:val="Hyperlink"/>
          </w:rPr>
          <w:t xml:space="preserve"> </w:t>
        </w:r>
        <w:r>
          <w:rPr>
            <w:rStyle w:val="Hyperlink"/>
          </w:rPr>
          <w:t xml:space="preserve">Tool</w:t>
        </w:r>
      </w:hyperlink>
      <w:r>
        <w:t xml:space="preserve">. The download provides, for each combination of measure,</w:t>
      </w:r>
      <w:r>
        <w:t xml:space="preserve"> </w:t>
      </w:r>
      <w:r>
        <w:t xml:space="preserve">location, sex, age group and year, a point estimate and the lower and upper bounds of the 95%</w:t>
      </w:r>
      <w:r>
        <w:t xml:space="preserve"> </w:t>
      </w:r>
      <w:r>
        <w:t xml:space="preserve">uncertainty interval (UI); posterior draws are not part of this public download (see</w:t>
      </w:r>
      <w:r>
        <w:t xml:space="preserve"> </w:t>
      </w:r>
      <w:hyperlink w:anchor="sec-app-uncert">
        <w:r>
          <w:rPr>
            <w:rStyle w:val="Hyperlink"/>
          </w:rPr>
          <w:t xml:space="preserve">Section 3.3.2</w:t>
        </w:r>
      </w:hyperlink>
      <w:r>
        <w:t xml:space="preserve">).</w:t>
      </w:r>
    </w:p>
    <w:p>
      <w:pPr>
        <w:pStyle w:val="BodyText"/>
      </w:pPr>
      <w:r>
        <w:t xml:space="preserve">We extracted incidence, prevalence, mortality (deaths), YLLs, YLDs and DALYs for males, females and</w:t>
      </w:r>
      <w:r>
        <w:t xml:space="preserve"> </w:t>
      </w:r>
      <w:r>
        <w:t xml:space="preserve">both sexes, for all age groups, five-year age groups and the age-standardized rate, for the U.S.,</w:t>
      </w:r>
      <w:r>
        <w:t xml:space="preserve"> </w:t>
      </w:r>
      <w:r>
        <w:t xml:space="preserve">the 50 states and the District of Columbia (DC; not a state, hence “jurisdictions” when pooled), and</w:t>
      </w:r>
      <w:r>
        <w:t xml:space="preserve"> </w:t>
      </w:r>
      <w:r>
        <w:t xml:space="preserve">for three comparator regions: the European Union, the high-income super-region and the high-SDI</w:t>
      </w:r>
      <w:r>
        <w:t xml:space="preserve"> </w:t>
      </w:r>
      <w:r>
        <w:t xml:space="preserve">quintile. Rates are expressed per 100,000 population. Years covered differ by measure: mortality and</w:t>
      </w:r>
      <w:r>
        <w:t xml:space="preserve"> </w:t>
      </w:r>
      <w:r>
        <w:t xml:space="preserve">YLLs are available for 1980–2021, whereas the non-fatal measures (incidence, prevalence, YLDs) and</w:t>
      </w:r>
      <w:r>
        <w:t xml:space="preserve"> </w:t>
      </w:r>
      <w:r>
        <w:t xml:space="preserve">therefore DALYs start in 1990. All quantified changes use 1990–2021 (the first year for which all</w:t>
      </w:r>
      <w:r>
        <w:t xml:space="preserve"> </w:t>
      </w:r>
      <w:r>
        <w:t xml:space="preserve">six measures exist and the conventional GBD baseline) as the primary contrast, and 2010–2021 as a</w:t>
      </w:r>
      <w:r>
        <w:t xml:space="preserve"> </w:t>
      </w:r>
      <w:r>
        <w:t xml:space="preserve">secondary contrast; the 1980–2021 change for deaths and YLLs is provided in</w:t>
      </w:r>
      <w:r>
        <w:t xml:space="preserve"> </w:t>
      </w:r>
      <w:hyperlink w:anchor="sup-percentchange">
        <w:r>
          <w:rPr>
            <w:rStyle w:val="Hyperlink"/>
          </w:rPr>
          <w:t xml:space="preserve">Supporting Info</w:t>
        </w:r>
        <w:r>
          <w:rPr>
            <w:rStyle w:val="Hyperlink"/>
          </w:rPr>
          <w:t xml:space="preserve"> </w:t>
        </w:r>
        <w:r>
          <w:rPr>
            <w:rStyle w:val="Hyperlink"/>
          </w:rPr>
          <w:t xml:space="preserve">1</w:t>
        </w:r>
      </w:hyperlink>
      <w:r>
        <w:t xml:space="preserve">. Figures show all available years.</w:t>
      </w:r>
    </w:p>
    <w:p>
      <w:pPr>
        <w:pStyle w:val="BodyText"/>
      </w:pPr>
      <w:r>
        <w:t xml:space="preserve">GBD 2021 was used because the analysis pipeline and all state-level extracts were built on this</w:t>
      </w:r>
      <w:r>
        <w:t xml:space="preserve"> </w:t>
      </w:r>
      <w:r>
        <w:t xml:space="preserve">release. GBD 2023 results, including cancer estimates, have since been published</w:t>
      </w:r>
      <w:r>
        <w:t xml:space="preserve"> </w:t>
      </w:r>
      <w:r>
        <w:t xml:space="preserve">(19)</w:t>
      </w:r>
      <w:r>
        <w:t xml:space="preserve">;</w:t>
      </w:r>
      <w:r>
        <w:t xml:space="preserve"> </w:t>
      </w:r>
      <w:r>
        <w:t xml:space="preserve">this is discussed as a limitation (</w:t>
      </w:r>
      <w:hyperlink w:anchor="sec-strengths-limits">
        <w:r>
          <w:rPr>
            <w:rStyle w:val="Hyperlink"/>
          </w:rPr>
          <w:t xml:space="preserve">Section 5.6</w:t>
        </w:r>
      </w:hyperlink>
      <w:r>
        <w:t xml:space="preserve">). Given the value codes and data structure</w:t>
      </w:r>
      <w:r>
        <w:t xml:space="preserve"> </w:t>
      </w:r>
      <w:r>
        <w:t xml:space="preserve">remains the same in GBD 2023 data, this study will be easily reproducible by replacing the data.</w:t>
      </w:r>
      <w:r>
        <w:t xml:space="preserve"> </w:t>
      </w:r>
      <w:r>
        <w:t xml:space="preserve">Cancer estimation in GBD is anchored on mortality: incidence is derived from mortality using</w:t>
      </w:r>
      <w:r>
        <w:t xml:space="preserve"> </w:t>
      </w:r>
      <w:r>
        <w:t xml:space="preserve">mortality-to-incidence ratios, and prevalence and YLDs are derived from incidence and survival</w:t>
      </w:r>
      <w:r>
        <w:t xml:space="preserve"> </w:t>
      </w:r>
      <w:r>
        <w:t xml:space="preserve">(20)</w:t>
      </w:r>
      <w:r>
        <w:t xml:space="preserve">. The six measures are therefore not independent sources of information.</w:t>
      </w:r>
    </w:p>
    <w:bookmarkEnd w:id="56"/>
    <w:bookmarkStart w:id="57" w:name="definitions"/>
    <w:p>
      <w:pPr>
        <w:pStyle w:val="Heading2"/>
      </w:pPr>
      <w:r>
        <w:t xml:space="preserve">3.2 Definitions</w:t>
      </w:r>
    </w:p>
    <w:p>
      <w:pPr>
        <w:pStyle w:val="DefinitionTerm"/>
      </w:pPr>
      <w:r>
        <w:t xml:space="preserve">Bladder cancer</w:t>
      </w:r>
    </w:p>
    <w:p>
      <w:pPr>
        <w:pStyle w:val="Definition"/>
      </w:pPr>
      <w:r>
        <w:t xml:space="preserve">As defined in GBD 2021 using the International Classification of Diseases (ICD): ICD-10 codes</w:t>
      </w:r>
      <w:r>
        <w:t xml:space="preserve"> </w:t>
      </w:r>
      <w:r>
        <w:t xml:space="preserve">C67–C67.9 and ICD-9 codes 188–188.9, V10.51, V16.52 and V76.3. These codes are reproduced from</w:t>
      </w:r>
      <w:r>
        <w:t xml:space="preserve"> </w:t>
      </w:r>
      <w:r>
        <w:t xml:space="preserve">the GBD 2021 cause list and cause-mapping appendices</w:t>
      </w:r>
      <w:r>
        <w:t xml:space="preserve"> </w:t>
      </w:r>
      <w:r>
        <w:t xml:space="preserve">(17,18)</w:t>
      </w:r>
      <w:r>
        <w:t xml:space="preserve"> </w:t>
      </w:r>
      <w:r>
        <w:t xml:space="preserve">and were not</w:t>
      </w:r>
      <w:r>
        <w:t xml:space="preserve"> </w:t>
      </w:r>
      <w:r>
        <w:t xml:space="preserve">modified by the authors.</w:t>
      </w:r>
    </w:p>
    <w:p>
      <w:pPr>
        <w:pStyle w:val="DefinitionTerm"/>
      </w:pPr>
      <w:r>
        <w:t xml:space="preserve">Disability-adjusted life years (DALYs)</w:t>
      </w:r>
    </w:p>
    <w:p>
      <w:pPr>
        <w:pStyle w:val="Definition"/>
      </w:pPr>
      <w:r>
        <w:t xml:space="preserve">A summary measure of population health that combines YLLs and YLDs.</w:t>
      </w:r>
    </w:p>
    <w:p>
      <w:pPr>
        <w:pStyle w:val="DefinitionTerm"/>
      </w:pPr>
      <w:r>
        <w:t xml:space="preserve">Years of life lost (YLLs)</w:t>
      </w:r>
    </w:p>
    <w:p>
      <w:pPr>
        <w:pStyle w:val="Definition"/>
      </w:pPr>
      <w:r>
        <w:t xml:space="preserve">The fatal component of DALYs: years lost due to death occurring before the reference life</w:t>
      </w:r>
      <w:r>
        <w:t xml:space="preserve"> </w:t>
      </w:r>
      <w:r>
        <w:t xml:space="preserve">expectancy.</w:t>
      </w:r>
    </w:p>
    <w:p>
      <w:pPr>
        <w:pStyle w:val="DefinitionTerm"/>
      </w:pPr>
      <w:r>
        <w:t xml:space="preserve">Years lived with disability (YLDs)</w:t>
      </w:r>
    </w:p>
    <w:p>
      <w:pPr>
        <w:pStyle w:val="Definition"/>
      </w:pPr>
      <w:r>
        <w:t xml:space="preserve">The non-fatal component of DALYs: time lived in health states less than full health, weighted by</w:t>
      </w:r>
      <w:r>
        <w:t xml:space="preserve"> </w:t>
      </w:r>
      <w:r>
        <w:t xml:space="preserve">severity.</w:t>
      </w:r>
    </w:p>
    <w:p>
      <w:pPr>
        <w:pStyle w:val="DefinitionTerm"/>
      </w:pPr>
      <w:r>
        <w:t xml:space="preserve">Socio-Demographic Index (SDI)</w:t>
      </w:r>
    </w:p>
    <w:p>
      <w:pPr>
        <w:pStyle w:val="Definition"/>
      </w:pPr>
      <w:r>
        <w:t xml:space="preserve">A composite measure developed within the GBD framework reflecting income per capita, average</w:t>
      </w:r>
      <w:r>
        <w:t xml:space="preserve"> </w:t>
      </w:r>
      <w:r>
        <w:t xml:space="preserve">educational attainment among people aged 15 years or older, and fertility among those younger</w:t>
      </w:r>
      <w:r>
        <w:t xml:space="preserve"> </w:t>
      </w:r>
      <w:r>
        <w:t xml:space="preserve">than 25 years</w:t>
      </w:r>
      <w:r>
        <w:t xml:space="preserve"> </w:t>
      </w:r>
      <w:r>
        <w:t xml:space="preserve">(21)</w:t>
      </w:r>
      <w:r>
        <w:t xml:space="preserve">. It ranges from 0 to 1 and is used</w:t>
      </w:r>
      <w:r>
        <w:t xml:space="preserve"> </w:t>
      </w:r>
      <w:r>
        <w:t xml:space="preserve">to classify locations into five quintiles (low to high SDI).</w:t>
      </w:r>
    </w:p>
    <w:p>
      <w:pPr>
        <w:pStyle w:val="DefinitionTerm"/>
      </w:pPr>
      <w:r>
        <w:t xml:space="preserve">Comparator regions</w:t>
      </w:r>
    </w:p>
    <w:p>
      <w:pPr>
        <w:pStyle w:val="Definition"/>
      </w:pPr>
      <w:r>
        <w:t xml:space="preserve">The European Union, the high-income super-region and the high-SDI quintile, used as reference</w:t>
      </w:r>
      <w:r>
        <w:t xml:space="preserve"> </w:t>
      </w:r>
      <w:r>
        <w:t xml:space="preserve">points for the U.S. The U.S. is itself a constituent of the high-income and high-SDI aggregates</w:t>
      </w:r>
      <w:r>
        <w:t xml:space="preserve"> </w:t>
      </w:r>
      <w:r>
        <w:t xml:space="preserve">and contributes a substantial share of their population; contrasts between the U.S. and these</w:t>
      </w:r>
      <w:r>
        <w:t xml:space="preserve"> </w:t>
      </w:r>
      <w:r>
        <w:t xml:space="preserve">aggregates are therefore not independent country-to-country comparisons and are expected to be</w:t>
      </w:r>
      <w:r>
        <w:t xml:space="preserve"> </w:t>
      </w:r>
      <w:r>
        <w:t xml:space="preserve">attenuated. The European Union does not contain the U.S.</w:t>
      </w:r>
    </w:p>
    <w:p>
      <w:pPr>
        <w:pStyle w:val="DefinitionTerm"/>
      </w:pPr>
      <w:r>
        <w:t xml:space="preserve">Age-standardized rate (ASR)</w:t>
      </w:r>
    </w:p>
    <w:p>
      <w:pPr>
        <w:pStyle w:val="Definition"/>
      </w:pPr>
      <w:r>
        <w:t xml:space="preserve">A rate adjusted to a common age structure so that populations with different age distributions</w:t>
      </w:r>
      <w:r>
        <w:t xml:space="preserve"> </w:t>
      </w:r>
      <w:r>
        <w:t xml:space="preserve">can be compared. By construction, an ASR is not affected by changes in the age structure of the</w:t>
      </w:r>
      <w:r>
        <w:t xml:space="preserve"> </w:t>
      </w:r>
      <w:r>
        <w:t xml:space="preserve">population. ASRs were obtained directly from the GBD Results Tool (they were not recalculated by</w:t>
      </w:r>
      <w:r>
        <w:t xml:space="preserve"> </w:t>
      </w:r>
      <w:r>
        <w:t xml:space="preserve">the authors). GBD uses direct standardization to the GBD world standard population:</w:t>
      </w:r>
    </w:p>
    <w:p>
      <w:pPr>
        <w:pStyle w:val="FirstParagraph"/>
      </w:pPr>
      <m:oMathPara>
        <m:oMathParaPr>
          <m:jc m:val="center"/>
        </m:oMathParaPr>
        <m:oMath>
          <m:r>
            <m:rPr>
              <m:sty m:val="p"/>
            </m:rPr>
            <m:t>A</m:t>
          </m:r>
          <m:r>
            <m:rPr>
              <m:sty m:val="p"/>
            </m:rPr>
            <m:t>S</m:t>
          </m:r>
          <m:r>
            <m:rPr>
              <m:sty m:val="p"/>
            </m:rPr>
            <m:t>R</m:t>
          </m:r>
          <m:r>
            <m:rPr>
              <m:sty m:val="p"/>
            </m:rPr>
            <m:t>=</m:t>
          </m:r>
          <m:f>
            <m:fPr>
              <m:type m:val="bar"/>
            </m:fPr>
            <m:num>
              <m:nary>
                <m:naryPr>
                  <m:chr m:val="∑"/>
                  <m:limLoc m:val="undOvr"/>
                  <m:subHide m:val="off"/>
                  <m:supHide m:val="off"/>
                </m:naryPr>
                <m:sub>
                  <m:r>
                    <m:t>i</m:t>
                  </m:r>
                  <m:r>
                    <m:rPr>
                      <m:sty m:val="p"/>
                    </m:rPr>
                    <m:t>=</m:t>
                  </m:r>
                  <m:r>
                    <m:t>1</m:t>
                  </m:r>
                </m:sub>
                <m:sup>
                  <m:r>
                    <m:t>A</m:t>
                  </m:r>
                </m:sup>
                <m:e>
                  <m:sSub>
                    <m:e>
                      <m:r>
                        <m:t>a</m:t>
                      </m:r>
                    </m:e>
                    <m:sub>
                      <m:r>
                        <m:t>i</m:t>
                      </m:r>
                    </m:sub>
                  </m:sSub>
                </m:e>
              </m:nary>
              <m:r>
                <m:t> </m:t>
              </m:r>
              <m:sSub>
                <m:e>
                  <m:r>
                    <m:t>w</m:t>
                  </m:r>
                </m:e>
                <m:sub>
                  <m:r>
                    <m:t>i</m:t>
                  </m:r>
                </m:sub>
              </m:sSub>
            </m:num>
            <m:den>
              <m:nary>
                <m:naryPr>
                  <m:chr m:val="∑"/>
                  <m:limLoc m:val="undOvr"/>
                  <m:subHide m:val="off"/>
                  <m:supHide m:val="off"/>
                </m:naryPr>
                <m:sub>
                  <m:r>
                    <m:t>i</m:t>
                  </m:r>
                  <m:r>
                    <m:rPr>
                      <m:sty m:val="p"/>
                    </m:rPr>
                    <m:t>=</m:t>
                  </m:r>
                  <m:r>
                    <m:t>1</m:t>
                  </m:r>
                </m:sub>
                <m:sup>
                  <m:r>
                    <m:t>A</m:t>
                  </m:r>
                </m:sup>
                <m:e>
                  <m:sSub>
                    <m:e>
                      <m:r>
                        <m:t>w</m:t>
                      </m:r>
                    </m:e>
                    <m:sub>
                      <m:r>
                        <m:t>i</m:t>
                      </m:r>
                    </m:sub>
                  </m:sSub>
                </m:e>
              </m:nary>
            </m:den>
          </m:f>
          <m:r>
            <m:rPr>
              <m:sty m:val="p"/>
            </m:rPr>
            <m:t>×</m:t>
          </m:r>
          <m:r>
            <m:t>100</m:t>
          </m:r>
          <m:r>
            <m:rPr>
              <m:sty m:val="p"/>
            </m:rPr>
            <m:t>,</m:t>
          </m:r>
          <m:r>
            <m:t>000</m:t>
          </m:r>
        </m:oMath>
      </m:oMathPara>
    </w:p>
    <w:p>
      <w:pPr>
        <w:pStyle w:val="FirstParagraph"/>
      </w:pPr>
      <w:r>
        <w:t xml:space="preserve">where</w:t>
      </w:r>
      <w:r>
        <w:t xml:space="preserve"> </w:t>
      </w:r>
      <m:oMath>
        <m:sSub>
          <m:e>
            <m:r>
              <m:t>a</m:t>
            </m:r>
          </m:e>
          <m:sub>
            <m:r>
              <m:t>i</m:t>
            </m:r>
          </m:sub>
        </m:sSub>
      </m:oMath>
      <w:r>
        <w:t xml:space="preserve"> </w:t>
      </w:r>
      <w:r>
        <w:t xml:space="preserve">is the age-specific rate (events per person-year) in age group</w:t>
      </w:r>
      <w:r>
        <w:t xml:space="preserve"> </w:t>
      </w:r>
      <m:oMath>
        <m:r>
          <m:t>i</m:t>
        </m:r>
      </m:oMath>
      <w:r>
        <w:t xml:space="preserve">,</w:t>
      </w:r>
      <w:r>
        <w:t xml:space="preserve"> </w:t>
      </w:r>
      <m:oMath>
        <m:sSub>
          <m:e>
            <m:r>
              <m:t>w</m:t>
            </m:r>
          </m:e>
          <m:sub>
            <m:r>
              <m:t>i</m:t>
            </m:r>
          </m:sub>
        </m:sSub>
      </m:oMath>
      <w:r>
        <w:t xml:space="preserve"> </w:t>
      </w:r>
      <w:r>
        <w:t xml:space="preserve">is the</w:t>
      </w:r>
      <w:r>
        <w:t xml:space="preserve"> </w:t>
      </w:r>
      <w:r>
        <w:t xml:space="preserve">corresponding standard-population weight, and</w:t>
      </w:r>
      <w:r>
        <w:t xml:space="preserve"> </w:t>
      </w:r>
      <m:oMath>
        <m:r>
          <m:t>A</m:t>
        </m:r>
      </m:oMath>
      <w:r>
        <w:t xml:space="preserve"> </w:t>
      </w:r>
      <w:r>
        <w:t xml:space="preserve">is the number of age groups.</w:t>
      </w:r>
    </w:p>
    <w:bookmarkEnd w:id="57"/>
    <w:bookmarkStart w:id="60" w:name="statistical-analysis"/>
    <w:p>
      <w:pPr>
        <w:pStyle w:val="Heading2"/>
      </w:pPr>
      <w:r>
        <w:t xml:space="preserve">3.3 Statistical analysis</w:t>
      </w:r>
    </w:p>
    <w:bookmarkStart w:id="58" w:name="summary-measures"/>
    <w:p>
      <w:pPr>
        <w:pStyle w:val="Heading3"/>
      </w:pPr>
      <w:r>
        <w:t xml:space="preserve">3.3.1 Summary measures</w:t>
      </w:r>
    </w:p>
    <w:p>
      <w:pPr>
        <w:pStyle w:val="FirstParagraph"/>
      </w:pPr>
      <w:r>
        <w:t xml:space="preserve">All statements about trends refer either to the plotted series or to the following fixed summary</w:t>
      </w:r>
      <w:r>
        <w:t xml:space="preserve"> </w:t>
      </w:r>
      <w:r>
        <w:t xml:space="preserve">measures; no trend model (e.g., Joinpoint regression, annual percent change, or an age–period–cohort</w:t>
      </w:r>
      <w:r>
        <w:t xml:space="preserve"> </w:t>
      </w:r>
      <w:r>
        <w:t xml:space="preserve">model) was fitted, and no test of differing slopes between the U.S. and comparators was performed.</w:t>
      </w:r>
    </w:p>
    <w:p>
      <w:pPr>
        <w:pStyle w:val="Compact"/>
        <w:numPr>
          <w:ilvl w:val="0"/>
          <w:numId w:val="1008"/>
        </w:numPr>
      </w:pPr>
      <w:r>
        <w:rPr>
          <w:i/>
          <w:iCs/>
        </w:rPr>
        <w:t xml:space="preserve">Percent change</w:t>
      </w:r>
      <w:r>
        <w:t xml:space="preserve"> </w:t>
      </w:r>
      <w:r>
        <w:t xml:space="preserve">in the ASR between two years,</w:t>
      </w:r>
      <w:r>
        <w:t xml:space="preserve"> </w:t>
      </w:r>
      <m:oMath>
        <m:r>
          <m:t>100</m:t>
        </m:r>
        <m:r>
          <m:rPr>
            <m:sty m:val="p"/>
          </m:rPr>
          <m:t>×</m:t>
        </m:r>
        <m:r>
          <m:rPr>
            <m:sty m:val="p"/>
          </m:rPr>
          <m:t>(</m:t>
        </m:r>
        <m:sSub>
          <m:e>
            <m:r>
              <m:t>a</m:t>
            </m:r>
          </m:e>
          <m:sub>
            <m:r>
              <m:rPr>
                <m:nor/>
                <m:sty m:val="p"/>
              </m:rPr>
              <m:t>end</m:t>
            </m:r>
          </m:sub>
        </m:sSub>
        <m:r>
          <m:rPr>
            <m:sty m:val="p"/>
          </m:rPr>
          <m:t>/</m:t>
        </m:r>
        <m:sSub>
          <m:e>
            <m:r>
              <m:t>a</m:t>
            </m:r>
          </m:e>
          <m:sub>
            <m:r>
              <m:rPr>
                <m:nor/>
                <m:sty m:val="p"/>
              </m:rPr>
              <m:t>start</m:t>
            </m:r>
          </m:sub>
        </m:sSub>
        <m:r>
          <m:rPr>
            <m:sty m:val="p"/>
          </m:rPr>
          <m:t>−</m:t>
        </m:r>
        <m:r>
          <m:t>1</m:t>
        </m:r>
        <m:r>
          <m:rPr>
            <m:sty m:val="p"/>
          </m:rPr>
          <m:t>)</m:t>
        </m:r>
      </m:oMath>
      <w:r>
        <w:t xml:space="preserve">, for</w:t>
      </w:r>
      <w:r>
        <w:t xml:space="preserve"> </w:t>
      </w:r>
      <w:r>
        <w:t xml:space="preserve">1990–2021 and 2010–2021 (and 1980–2021 for deaths and YLLs), for the U.S., each jurisdiction and</w:t>
      </w:r>
      <w:r>
        <w:t xml:space="preserve"> </w:t>
      </w:r>
      <w:r>
        <w:t xml:space="preserve">each comparator region, by sex and measure.</w:t>
      </w:r>
    </w:p>
    <w:p>
      <w:pPr>
        <w:pStyle w:val="Compact"/>
        <w:numPr>
          <w:ilvl w:val="0"/>
          <w:numId w:val="1008"/>
        </w:numPr>
      </w:pPr>
      <w:r>
        <w:rPr>
          <w:i/>
          <w:iCs/>
        </w:rPr>
        <w:t xml:space="preserve">Male:female rate ratio</w:t>
      </w:r>
      <w:r>
        <w:t xml:space="preserve"> </w:t>
      </w:r>
      <w:r>
        <w:t xml:space="preserve">of ASRs in 2021 for each jurisdiction and measure.</w:t>
      </w:r>
    </w:p>
    <w:p>
      <w:pPr>
        <w:pStyle w:val="Compact"/>
        <w:numPr>
          <w:ilvl w:val="0"/>
          <w:numId w:val="1008"/>
        </w:numPr>
      </w:pPr>
      <w:r>
        <w:rPr>
          <w:i/>
          <w:iCs/>
        </w:rPr>
        <w:t xml:space="preserve">Rank</w:t>
      </w:r>
      <w:r>
        <w:t xml:space="preserve"> </w:t>
      </w:r>
      <w:r>
        <w:t xml:space="preserve">of jurisdictions by point estimate of the 2021 ASR (both sexes).</w:t>
      </w:r>
    </w:p>
    <w:p>
      <w:pPr>
        <w:pStyle w:val="FirstParagraph"/>
      </w:pPr>
      <w:r>
        <w:t xml:space="preserve">The 95% UIs reported for GBD estimates are Bayesian uncertainty intervals (2.5th and 97.5th</w:t>
      </w:r>
      <w:r>
        <w:t xml:space="preserve"> </w:t>
      </w:r>
      <w:r>
        <w:t xml:space="preserve">percentiles of 1,000 posterior draws) that reflect data sparsity, measurement error and model</w:t>
      </w:r>
      <w:r>
        <w:t xml:space="preserve"> </w:t>
      </w:r>
      <w:r>
        <w:t xml:space="preserve">specification</w:t>
      </w:r>
      <w:r>
        <w:t xml:space="preserve"> </w:t>
      </w:r>
      <w:r>
        <w:t xml:space="preserve">(18)</w:t>
      </w:r>
      <w:r>
        <w:t xml:space="preserve">. They are not frequentist confidence intervals. We therefore do not use</w:t>
      </w:r>
      <w:r>
        <w:t xml:space="preserve"> </w:t>
      </w:r>
      <w:r>
        <w:t xml:space="preserve">the word “significant”, and describe whether an approximate UI includes zero only as a description</w:t>
      </w:r>
      <w:r>
        <w:t xml:space="preserve"> </w:t>
      </w:r>
      <w:r>
        <w:t xml:space="preserve">of that interval.</w:t>
      </w:r>
    </w:p>
    <w:bookmarkEnd w:id="58"/>
    <w:bookmarkStart w:id="59" w:name="sec-app-uncert"/>
    <w:p>
      <w:pPr>
        <w:pStyle w:val="Heading3"/>
      </w:pPr>
      <w:r>
        <w:t xml:space="preserve">3.3.2 Approximate uncertainty intervals for derived quantities</w:t>
      </w:r>
    </w:p>
    <w:p>
      <w:pPr>
        <w:pStyle w:val="FirstParagraph"/>
      </w:pPr>
      <w:r>
        <w:t xml:space="preserve">Percent changes and rate ratios are derived quantities for which the public GBD download does not</w:t>
      </w:r>
      <w:r>
        <w:t xml:space="preserve"> </w:t>
      </w:r>
      <w:r>
        <w:t xml:space="preserve">provide UIs. The posterior-draw approach, in which the quantity is computed in each draw and then</w:t>
      </w:r>
      <w:r>
        <w:t xml:space="preserve"> </w:t>
      </w:r>
      <w:r>
        <w:t xml:space="preserve">summarised, is the preferred way of obtaining UIs for derived quantities in GBD</w:t>
      </w:r>
      <w:r>
        <w:t xml:space="preserve"> </w:t>
      </w:r>
      <w:r>
        <w:t xml:space="preserve">(22)</w:t>
      </w:r>
      <w:r>
        <w:t xml:space="preserve">. Because</w:t>
      </w:r>
      <w:r>
        <w:t xml:space="preserve"> </w:t>
      </w:r>
      <w:r>
        <w:t xml:space="preserve">draws were not part of our download, we approximated these UIs from the published bounds using</w:t>
      </w:r>
      <w:r>
        <w:t xml:space="preserve"> </w:t>
      </w:r>
      <w:r>
        <w:t xml:space="preserve">standard methods for ratios of independent estimates</w:t>
      </w:r>
      <w:r>
        <w:t xml:space="preserve"> </w:t>
      </w:r>
      <w:r>
        <w:t xml:space="preserve">(23,24)</w:t>
      </w:r>
      <w:r>
        <w:t xml:space="preserve">.</w:t>
      </w:r>
    </w:p>
    <w:p>
      <w:pPr>
        <w:pStyle w:val="BodyText"/>
      </w:pPr>
      <w:r>
        <w:t xml:space="preserve">For two ASRs</w:t>
      </w:r>
      <w:r>
        <w:t xml:space="preserve"> </w:t>
      </w:r>
      <m:oMath>
        <m:sSub>
          <m:e>
            <m:r>
              <m:t>a</m:t>
            </m:r>
          </m:e>
          <m:sub>
            <m:r>
              <m:t>1</m:t>
            </m:r>
          </m:sub>
        </m:sSub>
      </m:oMath>
      <w:r>
        <w:t xml:space="preserve"> </w:t>
      </w:r>
      <w:r>
        <w:t xml:space="preserve">and</w:t>
      </w:r>
      <w:r>
        <w:t xml:space="preserve"> </w:t>
      </w:r>
      <m:oMath>
        <m:sSub>
          <m:e>
            <m:r>
              <m:t>a</m:t>
            </m:r>
          </m:e>
          <m:sub>
            <m:r>
              <m:t>2</m:t>
            </m:r>
          </m:sub>
        </m:sSub>
      </m:oMath>
      <w:r>
        <w:t xml:space="preserve"> </w:t>
      </w:r>
      <w:r>
        <w:t xml:space="preserve">with published 95% UIs</w:t>
      </w:r>
      <w:r>
        <w:t xml:space="preserve"> </w:t>
      </w:r>
      <m:oMath>
        <m:r>
          <m:rPr>
            <m:sty m:val="p"/>
          </m:rPr>
          <m:t>[</m:t>
        </m:r>
        <m:sSub>
          <m:e>
            <m:r>
              <m:t>l</m:t>
            </m:r>
          </m:e>
          <m:sub>
            <m:r>
              <m:t>1</m:t>
            </m:r>
          </m:sub>
        </m:sSub>
        <m:r>
          <m:rPr>
            <m:sty m:val="p"/>
          </m:rPr>
          <m:t>,</m:t>
        </m:r>
        <m:sSub>
          <m:e>
            <m:r>
              <m:t>u</m:t>
            </m:r>
          </m:e>
          <m:sub>
            <m:r>
              <m:t>1</m:t>
            </m:r>
          </m:sub>
        </m:sSub>
        <m:r>
          <m:rPr>
            <m:sty m:val="p"/>
          </m:rPr>
          <m:t>]</m:t>
        </m:r>
      </m:oMath>
      <w:r>
        <w:t xml:space="preserve"> </w:t>
      </w:r>
      <w:r>
        <w:t xml:space="preserve">and</w:t>
      </w:r>
      <w:r>
        <w:t xml:space="preserve"> </w:t>
      </w:r>
      <m:oMath>
        <m:r>
          <m:rPr>
            <m:sty m:val="p"/>
          </m:rPr>
          <m:t>[</m:t>
        </m:r>
        <m:sSub>
          <m:e>
            <m:r>
              <m:t>l</m:t>
            </m:r>
          </m:e>
          <m:sub>
            <m:r>
              <m:t>2</m:t>
            </m:r>
          </m:sub>
        </m:sSub>
        <m:r>
          <m:rPr>
            <m:sty m:val="p"/>
          </m:rPr>
          <m:t>,</m:t>
        </m:r>
        <m:sSub>
          <m:e>
            <m:r>
              <m:t>u</m:t>
            </m:r>
          </m:e>
          <m:sub>
            <m:r>
              <m:t>2</m:t>
            </m:r>
          </m:sub>
        </m:sSub>
        <m:r>
          <m:rPr>
            <m:sty m:val="p"/>
          </m:rPr>
          <m:t>]</m:t>
        </m:r>
      </m:oMath>
      <w:r>
        <w:t xml:space="preserve">, the standard error</w:t>
      </w:r>
      <w:r>
        <w:t xml:space="preserve"> </w:t>
      </w:r>
      <w:r>
        <w:t xml:space="preserve">of each log-rate was back-calculated from the bounds, assuming that the UI is symmetric on the log</w:t>
      </w:r>
      <w:r>
        <w:t xml:space="preserve"> </w:t>
      </w:r>
      <w:r>
        <w:t xml:space="preserve">scale (this is a direct back-calculation, not a delta-method approximation):</w:t>
      </w:r>
    </w:p>
    <w:p>
      <w:pPr>
        <w:pStyle w:val="BodyText"/>
      </w:pPr>
      <m:oMathPara>
        <m:oMathParaPr>
          <m:jc m:val="center"/>
        </m:oMathParaPr>
        <m:oMath>
          <m:r>
            <m:t>S</m:t>
          </m:r>
          <m:sSub>
            <m:e>
              <m:r>
                <m:t>E</m:t>
              </m:r>
            </m:e>
            <m:sub>
              <m:r>
                <m:rPr>
                  <m:sty m:val="p"/>
                </m:rPr>
                <m:t>log</m:t>
              </m:r>
              <m:r>
                <m:rPr>
                  <m:sty m:val="p"/>
                </m:rPr>
                <m:t>(</m:t>
              </m:r>
              <m:sSub>
                <m:e>
                  <m:r>
                    <m:t>a</m:t>
                  </m:r>
                </m:e>
                <m:sub>
                  <m:r>
                    <m:t>k</m:t>
                  </m:r>
                </m:sub>
              </m:sSub>
              <m:r>
                <m:rPr>
                  <m:sty m:val="p"/>
                </m:rPr>
                <m:t>)</m:t>
              </m:r>
            </m:sub>
          </m:sSub>
          <m:r>
            <m:rPr>
              <m:sty m:val="p"/>
            </m:rPr>
            <m:t>≈</m:t>
          </m:r>
          <m:f>
            <m:fPr>
              <m:type m:val="bar"/>
            </m:fPr>
            <m:num>
              <m:r>
                <m:rPr>
                  <m:sty m:val="p"/>
                </m:rPr>
                <m:t>log</m:t>
              </m:r>
              <m:r>
                <m:rPr>
                  <m:sty m:val="p"/>
                </m:rPr>
                <m:t>(</m:t>
              </m:r>
              <m:sSub>
                <m:e>
                  <m:r>
                    <m:t>u</m:t>
                  </m:r>
                </m:e>
                <m:sub>
                  <m:r>
                    <m:t>k</m:t>
                  </m:r>
                </m:sub>
              </m:sSub>
              <m:r>
                <m:rPr>
                  <m:sty m:val="p"/>
                </m:rPr>
                <m:t>)</m:t>
              </m:r>
              <m:r>
                <m:rPr>
                  <m:sty m:val="p"/>
                </m:rPr>
                <m:t>−</m:t>
              </m:r>
              <m:r>
                <m:rPr>
                  <m:sty m:val="p"/>
                </m:rPr>
                <m:t>log</m:t>
              </m:r>
              <m:r>
                <m:rPr>
                  <m:sty m:val="p"/>
                </m:rPr>
                <m:t>(</m:t>
              </m:r>
              <m:sSub>
                <m:e>
                  <m:r>
                    <m:t>l</m:t>
                  </m:r>
                </m:e>
                <m:sub>
                  <m:r>
                    <m:t>k</m:t>
                  </m:r>
                </m:sub>
              </m:sSub>
              <m:r>
                <m:rPr>
                  <m:sty m:val="p"/>
                </m:rPr>
                <m:t>)</m:t>
              </m:r>
            </m:num>
            <m:den>
              <m:r>
                <m:t>2</m:t>
              </m:r>
              <m:r>
                <m:t> </m:t>
              </m:r>
              <m:sSub>
                <m:e>
                  <m:r>
                    <m:t>z</m:t>
                  </m:r>
                </m:e>
                <m:sub>
                  <m:r>
                    <m:t>0.975</m:t>
                  </m:r>
                </m:sub>
              </m:sSub>
            </m:den>
          </m:f>
          <m:r>
            <m:rPr>
              <m:sty m:val="p"/>
            </m:rPr>
            <m:t>,</m:t>
          </m:r>
          <m:r>
            <m:t> </m:t>
          </m:r>
          <m:r>
            <m:t>k</m:t>
          </m:r>
          <m:r>
            <m:rPr>
              <m:sty m:val="p"/>
            </m:rPr>
            <m:t>=</m:t>
          </m:r>
          <m:r>
            <m:t>1</m:t>
          </m:r>
          <m:r>
            <m:rPr>
              <m:sty m:val="p"/>
            </m:rPr>
            <m:t>,</m:t>
          </m:r>
          <m:r>
            <m:t>2</m:t>
          </m:r>
          <m:r>
            <m:rPr>
              <m:sty m:val="p"/>
            </m:rPr>
            <m:t>,</m:t>
          </m:r>
          <m:r>
            <m:t>  </m:t>
          </m:r>
          <m:sSub>
            <m:e>
              <m:r>
                <m:t>z</m:t>
              </m:r>
            </m:e>
            <m:sub>
              <m:r>
                <m:t>0.975</m:t>
              </m:r>
            </m:sub>
          </m:sSub>
          <m:r>
            <m:rPr>
              <m:sty m:val="p"/>
            </m:rPr>
            <m:t>≈</m:t>
          </m:r>
          <m:r>
            <m:t>1.96</m:t>
          </m:r>
          <m:r>
            <m:rPr>
              <m:sty m:val="p"/>
            </m:rPr>
            <m:t>.</m:t>
          </m:r>
        </m:oMath>
      </m:oMathPara>
    </w:p>
    <w:p>
      <w:pPr>
        <w:pStyle w:val="FirstParagraph"/>
      </w:pPr>
      <w:r>
        <w:t xml:space="preserve">The ratio</w:t>
      </w:r>
      <w:r>
        <w:t xml:space="preserve"> </w:t>
      </w:r>
      <m:oMath>
        <m:r>
          <m:t>R</m:t>
        </m:r>
        <m:r>
          <m:rPr>
            <m:sty m:val="p"/>
          </m:rPr>
          <m:t>=</m:t>
        </m:r>
        <m:sSub>
          <m:e>
            <m:r>
              <m:t>a</m:t>
            </m:r>
          </m:e>
          <m:sub>
            <m:r>
              <m:t>1</m:t>
            </m:r>
          </m:sub>
        </m:sSub>
        <m:r>
          <m:rPr>
            <m:sty m:val="p"/>
          </m:rPr>
          <m:t>/</m:t>
        </m:r>
        <m:sSub>
          <m:e>
            <m:r>
              <m:t>a</m:t>
            </m:r>
          </m:e>
          <m:sub>
            <m:r>
              <m:t>2</m:t>
            </m:r>
          </m:sub>
        </m:sSub>
      </m:oMath>
      <w:r>
        <w:t xml:space="preserve"> </w:t>
      </w:r>
      <w:r>
        <w:t xml:space="preserve">(for percent change,</w:t>
      </w:r>
      <w:r>
        <w:t xml:space="preserve"> </w:t>
      </w:r>
      <m:oMath>
        <m:sSub>
          <m:e>
            <m:r>
              <m:t>a</m:t>
            </m:r>
          </m:e>
          <m:sub>
            <m:r>
              <m:t>1</m:t>
            </m:r>
          </m:sub>
        </m:sSub>
      </m:oMath>
      <w:r>
        <w:t xml:space="preserve"> </w:t>
      </w:r>
      <w:r>
        <w:t xml:space="preserve">is the later and</w:t>
      </w:r>
      <w:r>
        <w:t xml:space="preserve"> </w:t>
      </w:r>
      <m:oMath>
        <m:sSub>
          <m:e>
            <m:r>
              <m:t>a</m:t>
            </m:r>
          </m:e>
          <m:sub>
            <m:r>
              <m:t>2</m:t>
            </m:r>
          </m:sub>
        </m:sSub>
      </m:oMath>
      <w:r>
        <w:t xml:space="preserve"> </w:t>
      </w:r>
      <w:r>
        <w:t xml:space="preserve">the earlier year; percent</w:t>
      </w:r>
      <w:r>
        <w:t xml:space="preserve"> </w:t>
      </w:r>
      <w:r>
        <w:t xml:space="preserve">change is</w:t>
      </w:r>
      <w:r>
        <w:t xml:space="preserve"> </w:t>
      </w:r>
      <m:oMath>
        <m:r>
          <m:t>100</m:t>
        </m:r>
        <m:r>
          <m:rPr>
            <m:sty m:val="p"/>
          </m:rPr>
          <m:t>(</m:t>
        </m:r>
        <m:r>
          <m:t>R</m:t>
        </m:r>
        <m:r>
          <m:rPr>
            <m:sty m:val="p"/>
          </m:rPr>
          <m:t>−</m:t>
        </m:r>
        <m:r>
          <m:t>1</m:t>
        </m:r>
        <m:r>
          <m:rPr>
            <m:sty m:val="p"/>
          </m:rPr>
          <m:t>)</m:t>
        </m:r>
      </m:oMath>
      <w:r>
        <w:t xml:space="preserve">; for sex differences,</w:t>
      </w:r>
      <w:r>
        <w:t xml:space="preserve"> </w:t>
      </w:r>
      <m:oMath>
        <m:sSub>
          <m:e>
            <m:r>
              <m:t>a</m:t>
            </m:r>
          </m:e>
          <m:sub>
            <m:r>
              <m:t>1</m:t>
            </m:r>
          </m:sub>
        </m:sSub>
      </m:oMath>
      <w:r>
        <w:t xml:space="preserve"> </w:t>
      </w:r>
      <w:r>
        <w:t xml:space="preserve">is the male and</w:t>
      </w:r>
      <w:r>
        <w:t xml:space="preserve"> </w:t>
      </w:r>
      <m:oMath>
        <m:sSub>
          <m:e>
            <m:r>
              <m:t>a</m:t>
            </m:r>
          </m:e>
          <m:sub>
            <m:r>
              <m:t>2</m:t>
            </m:r>
          </m:sub>
        </m:sSub>
      </m:oMath>
      <w:r>
        <w:t xml:space="preserve"> </w:t>
      </w:r>
      <w:r>
        <w:t xml:space="preserve">the female rate) has</w:t>
      </w:r>
      <w:r>
        <w:t xml:space="preserve"> </w:t>
      </w:r>
      <m:oMath>
        <m:r>
          <m:rPr>
            <m:sty m:val="p"/>
          </m:rPr>
          <m:t>log</m:t>
        </m:r>
        <m:r>
          <m:t>R</m:t>
        </m:r>
        <m:r>
          <m:rPr>
            <m:sty m:val="p"/>
          </m:rPr>
          <m:t>=</m:t>
        </m:r>
        <m:r>
          <m:rPr>
            <m:sty m:val="p"/>
          </m:rPr>
          <m:t>log</m:t>
        </m:r>
        <m:sSub>
          <m:e>
            <m:r>
              <m:t>a</m:t>
            </m:r>
          </m:e>
          <m:sub>
            <m:r>
              <m:t>1</m:t>
            </m:r>
          </m:sub>
        </m:sSub>
        <m:r>
          <m:rPr>
            <m:sty m:val="p"/>
          </m:rPr>
          <m:t>−</m:t>
        </m:r>
        <m:r>
          <m:rPr>
            <m:sty m:val="p"/>
          </m:rPr>
          <m:t>log</m:t>
        </m:r>
        <m:sSub>
          <m:e>
            <m:r>
              <m:t>a</m:t>
            </m:r>
          </m:e>
          <m:sub>
            <m:r>
              <m:t>2</m:t>
            </m:r>
          </m:sub>
        </m:sSub>
      </m:oMath>
      <w:r>
        <w:t xml:space="preserve"> </w:t>
      </w:r>
      <w:r>
        <w:t xml:space="preserve">and</w:t>
      </w:r>
    </w:p>
    <w:p>
      <w:pPr>
        <w:pStyle w:val="BodyText"/>
      </w:pPr>
      <m:oMathPara>
        <m:oMathParaPr>
          <m:jc m:val="center"/>
        </m:oMathParaPr>
        <m:oMath>
          <m:r>
            <m:t>S</m:t>
          </m:r>
          <m:sSub>
            <m:e>
              <m:r>
                <m:t>E</m:t>
              </m:r>
            </m:e>
            <m:sub>
              <m:r>
                <m:rPr>
                  <m:sty m:val="p"/>
                </m:rPr>
                <m:t>log</m:t>
              </m:r>
              <m:r>
                <m:t>R</m:t>
              </m:r>
            </m:sub>
          </m:sSub>
          <m:r>
            <m:rPr>
              <m:sty m:val="p"/>
            </m:rPr>
            <m:t>=</m:t>
          </m:r>
          <m:rad>
            <m:radPr>
              <m:degHide m:val="on"/>
            </m:radPr>
            <m:deg/>
            <m:e>
              <m:r>
                <m:t>S</m:t>
              </m:r>
              <m:sSubSup>
                <m:e>
                  <m:r>
                    <m:t>E</m:t>
                  </m:r>
                </m:e>
                <m:sub>
                  <m:r>
                    <m:rPr>
                      <m:sty m:val="p"/>
                    </m:rPr>
                    <m:t>log</m:t>
                  </m:r>
                  <m:sSub>
                    <m:e>
                      <m:r>
                        <m:t>a</m:t>
                      </m:r>
                    </m:e>
                    <m:sub>
                      <m:r>
                        <m:t>1</m:t>
                      </m:r>
                    </m:sub>
                  </m:sSub>
                </m:sub>
                <m:sup>
                  <m:r>
                    <m:t>2</m:t>
                  </m:r>
                </m:sup>
              </m:sSubSup>
              <m:r>
                <m:rPr>
                  <m:sty m:val="p"/>
                </m:rPr>
                <m:t>+</m:t>
              </m:r>
              <m:r>
                <m:t>S</m:t>
              </m:r>
              <m:sSubSup>
                <m:e>
                  <m:r>
                    <m:t>E</m:t>
                  </m:r>
                </m:e>
                <m:sub>
                  <m:r>
                    <m:rPr>
                      <m:sty m:val="p"/>
                    </m:rPr>
                    <m:t>log</m:t>
                  </m:r>
                  <m:sSub>
                    <m:e>
                      <m:r>
                        <m:t>a</m:t>
                      </m:r>
                    </m:e>
                    <m:sub>
                      <m:r>
                        <m:t>2</m:t>
                      </m:r>
                    </m:sub>
                  </m:sSub>
                </m:sub>
                <m:sup>
                  <m:r>
                    <m:t>2</m:t>
                  </m:r>
                </m:sup>
              </m:sSubSup>
            </m:e>
          </m:rad>
          <m:r>
            <m:rPr>
              <m:sty m:val="p"/>
            </m:rPr>
            <m:t>,</m:t>
          </m:r>
          <m:r>
            <m:t>  </m:t>
          </m:r>
          <m:sSub>
            <m:e>
              <m:r>
                <m:rPr>
                  <m:nor/>
                  <m:sty m:val="p"/>
                </m:rPr>
                <m:t>UI</m:t>
              </m:r>
            </m:e>
            <m:sub>
              <m:r>
                <m:t>95</m:t>
              </m:r>
              <m:r>
                <m:rPr>
                  <m:sty m:val="p"/>
                </m:rPr>
                <m:t>%</m:t>
              </m:r>
            </m:sub>
          </m:sSub>
          <m:r>
            <m:rPr>
              <m:sty m:val="p"/>
            </m:rPr>
            <m:t>=</m:t>
          </m:r>
          <m:r>
            <m:rPr>
              <m:sty m:val="p"/>
            </m:rPr>
            <m:t>exp</m:t>
          </m:r>
          <m:r>
            <m:t>​</m:t>
          </m:r>
          <m:d>
            <m:dPr>
              <m:begChr m:val="("/>
              <m:sepChr m:val=""/>
              <m:endChr m:val=")"/>
              <m:grow/>
            </m:dPr>
            <m:e>
              <m:r>
                <m:rPr>
                  <m:sty m:val="p"/>
                </m:rPr>
                <m:t>log</m:t>
              </m:r>
              <m:r>
                <m:t>R</m:t>
              </m:r>
              <m:r>
                <m:rPr>
                  <m:sty m:val="p"/>
                </m:rPr>
                <m:t>±</m:t>
              </m:r>
              <m:sSub>
                <m:e>
                  <m:r>
                    <m:t>z</m:t>
                  </m:r>
                </m:e>
                <m:sub>
                  <m:r>
                    <m:t>0.975</m:t>
                  </m:r>
                </m:sub>
              </m:sSub>
              <m:r>
                <m:t> </m:t>
              </m:r>
              <m:r>
                <m:t>S</m:t>
              </m:r>
              <m:sSub>
                <m:e>
                  <m:r>
                    <m:t>E</m:t>
                  </m:r>
                </m:e>
                <m:sub>
                  <m:r>
                    <m:rPr>
                      <m:sty m:val="p"/>
                    </m:rPr>
                    <m:t>log</m:t>
                  </m:r>
                  <m:r>
                    <m:t>R</m:t>
                  </m:r>
                </m:sub>
              </m:sSub>
            </m:e>
          </m:d>
          <m:r>
            <m:rPr>
              <m:sty m:val="p"/>
            </m:rPr>
            <m:t>.</m:t>
          </m:r>
        </m:oMath>
      </m:oMathPara>
    </w:p>
    <w:p>
      <w:pPr>
        <w:pStyle w:val="FirstParagraph"/>
      </w:pPr>
      <w:r>
        <w:t xml:space="preserve">The point estimate is the ratio of the published point estimates, not the median of draw-wise</w:t>
      </w:r>
      <w:r>
        <w:t xml:space="preserve"> </w:t>
      </w:r>
      <w:r>
        <w:t xml:space="preserve">ratios.</w:t>
      </w:r>
    </w:p>
    <w:p>
      <w:pPr>
        <w:pStyle w:val="BodyText"/>
      </w:pPr>
      <w:r>
        <w:rPr>
          <w:b/>
          <w:bCs/>
        </w:rPr>
        <w:t xml:space="preserve">Limitations of the approximation.</w:t>
      </w:r>
      <w:r>
        <w:t xml:space="preserve"> </w:t>
      </w:r>
      <w:r>
        <w:t xml:space="preserve">(i) The estimates being compared (two years, or the two sexes,</w:t>
      </w:r>
      <w:r>
        <w:t xml:space="preserve"> </w:t>
      </w:r>
      <w:r>
        <w:t xml:space="preserve">of the same location) come from shared models, covariates and input data and are therefore not</w:t>
      </w:r>
      <w:r>
        <w:t xml:space="preserve"> </w:t>
      </w:r>
      <w:r>
        <w:t xml:space="preserve">independent. The sign of the dependence cannot be determined from published summaries: positive</w:t>
      </w:r>
      <w:r>
        <w:t xml:space="preserve"> </w:t>
      </w:r>
      <w:r>
        <w:t xml:space="preserve">correlation would make the approximate UIs too wide, negative correlation too narrow. (ii) Published</w:t>
      </w:r>
      <w:r>
        <w:t xml:space="preserve"> </w:t>
      </w:r>
      <w:r>
        <w:t xml:space="preserve">UIs are often asymmetric on the log scale, and the GBD point estimate is a mean of draws rather than</w:t>
      </w:r>
      <w:r>
        <w:t xml:space="preserve"> </w:t>
      </w:r>
      <w:r>
        <w:t xml:space="preserve">a median. The resulting intervals are therefore labelled</w:t>
      </w:r>
      <w:r>
        <w:t xml:space="preserve"> </w:t>
      </w:r>
      <w:r>
        <w:rPr>
          <w:i/>
          <w:iCs/>
        </w:rPr>
        <w:t xml:space="preserve">approximate</w:t>
      </w:r>
      <w:r>
        <w:t xml:space="preserve">, are intended to convey the</w:t>
      </w:r>
      <w:r>
        <w:t xml:space="preserve"> </w:t>
      </w:r>
      <w:r>
        <w:t xml:space="preserve">order of magnitude of uncertainty, and are not used for formal tests. In particular, we do not</w:t>
      </w:r>
      <w:r>
        <w:t xml:space="preserve"> </w:t>
      </w:r>
      <w:r>
        <w:t xml:space="preserve">interpret non-overlap (or overlap) of two jurisdictions’ intervals as a test of a difference between</w:t>
      </w:r>
      <w:r>
        <w:t xml:space="preserve"> </w:t>
      </w:r>
      <w:r>
        <w:t xml:space="preserve">them.</w:t>
      </w:r>
    </w:p>
    <w:bookmarkEnd w:id="59"/>
    <w:bookmarkEnd w:id="60"/>
    <w:bookmarkStart w:id="63" w:name="reporting-and-reproducibility"/>
    <w:p>
      <w:pPr>
        <w:pStyle w:val="Heading2"/>
      </w:pPr>
      <w:r>
        <w:t xml:space="preserve">3.4 Reporting and reproducibility</w:t>
      </w:r>
    </w:p>
    <w:p>
      <w:pPr>
        <w:pStyle w:val="FirstParagraph"/>
      </w:pPr>
      <w:r>
        <w:t xml:space="preserve">This study follows the Guidelines for Accurate and Transparent Health Estimates Reporting (GATHER)</w:t>
      </w:r>
      <w:r>
        <w:t xml:space="preserve"> </w:t>
      </w:r>
      <w:r>
        <w:t xml:space="preserve">(25)</w:t>
      </w:r>
      <w:r>
        <w:t xml:space="preserve">; the completed checklist, with manuscript locations, is provided as</w:t>
      </w:r>
      <w:r>
        <w:t xml:space="preserve"> </w:t>
      </w:r>
      <w:hyperlink w:anchor="sup-gather">
        <w:r>
          <w:rPr>
            <w:rStyle w:val="Hyperlink"/>
          </w:rPr>
          <w:t xml:space="preserve">Supporting</w:t>
        </w:r>
        <w:r>
          <w:rPr>
            <w:rStyle w:val="Hyperlink"/>
          </w:rPr>
          <w:t xml:space="preserve"> </w:t>
        </w:r>
        <w:r>
          <w:rPr>
            <w:rStyle w:val="Hyperlink"/>
          </w:rPr>
          <w:t xml:space="preserve">Info 10</w:t>
        </w:r>
      </w:hyperlink>
      <w:r>
        <w:t xml:space="preserve">. All numbers quoted in the Abstract and Results are generated by the analysis</w:t>
      </w:r>
      <w:r>
        <w:t xml:space="preserve"> </w:t>
      </w:r>
      <w:r>
        <w:t xml:space="preserve">code from the downloaded data, rather than typed. Analyses used R version 4.6.1 (2026-06-24); package</w:t>
      </w:r>
      <w:r>
        <w:t xml:space="preserve"> </w:t>
      </w:r>
      <w:r>
        <w:t xml:space="preserve">versions are listed in</w:t>
      </w:r>
      <w:r>
        <w:t xml:space="preserve"> </w:t>
      </w:r>
      <w:hyperlink w:anchor="sup-software">
        <w:r>
          <w:rPr>
            <w:rStyle w:val="Hyperlink"/>
          </w:rPr>
          <w:t xml:space="preserve">Supporting Info 9</w:t>
        </w:r>
      </w:hyperlink>
      <w:r>
        <w:t xml:space="preserve">. Complete code, cleaned data (in</w:t>
      </w:r>
      <w:r>
        <w:t xml:space="preserve"> </w:t>
      </w:r>
      <w:r>
        <w:rPr>
          <w:rStyle w:val="VerbatimChar"/>
        </w:rPr>
        <w:t xml:space="preserve">RDS</w:t>
      </w:r>
      <w:r>
        <w:t xml:space="preserve"> </w:t>
      </w:r>
      <w:r>
        <w:t xml:space="preserve">format) and figure files are in the study’s</w:t>
      </w:r>
      <w:r>
        <w:t xml:space="preserve"> </w:t>
      </w:r>
      <w:hyperlink r:id="rId61">
        <w:r>
          <w:rPr>
            <w:rStyle w:val="Hyperlink"/>
          </w:rPr>
          <w:t xml:space="preserve">GitHub</w:t>
        </w:r>
        <w:r>
          <w:rPr>
            <w:rStyle w:val="Hyperlink"/>
          </w:rPr>
          <w:t xml:space="preserve"> </w:t>
        </w:r>
        <w:r>
          <w:rPr>
            <w:rStyle w:val="Hyperlink"/>
          </w:rPr>
          <w:t xml:space="preserve">repository</w:t>
        </w:r>
      </w:hyperlink>
      <w:r>
        <w:t xml:space="preserve">; the submitted figures and tables</w:t>
      </w:r>
      <w:r>
        <w:t xml:space="preserve"> </w:t>
      </w:r>
      <w:r>
        <w:t xml:space="preserve">were generated from commit 60d599d, archived at 10.5281/zenodo.23814418</w:t>
      </w:r>
      <w:r>
        <w:t xml:space="preserve"> </w:t>
      </w:r>
      <w:r>
        <w:t xml:space="preserve">(26)</w:t>
      </w:r>
      <w:r>
        <w:t xml:space="preserve">. The study’s website</w:t>
      </w:r>
      <w:r>
        <w:t xml:space="preserve"> </w:t>
      </w:r>
      <w:r>
        <w:t xml:space="preserve">(</w:t>
      </w:r>
      <w:hyperlink r:id="rId62">
        <w:r>
          <w:rPr>
            <w:rStyle w:val="Hyperlink"/>
          </w:rPr>
          <w:t xml:space="preserve">bladder-cancer.ir</w:t>
        </w:r>
      </w:hyperlink>
      <w:r>
        <w:t xml:space="preserve">) hosts the manuscript, its source code, and authors’</w:t>
      </w:r>
      <w:r>
        <w:t xml:space="preserve"> </w:t>
      </w:r>
      <w:r>
        <w:t xml:space="preserve">correspondence with the reviewers.</w:t>
      </w:r>
    </w:p>
    <w:bookmarkEnd w:id="63"/>
    <w:bookmarkEnd w:id="64"/>
    <w:bookmarkStart w:id="92" w:name="results"/>
    <w:p>
      <w:pPr>
        <w:pStyle w:val="Heading1"/>
      </w:pPr>
      <w:r>
        <w:t xml:space="preserve">4. Results</w:t>
      </w:r>
    </w:p>
    <w:bookmarkStart w:id="70" w:name="sec-compare-us"/>
    <w:p>
      <w:pPr>
        <w:pStyle w:val="Heading2"/>
      </w:pPr>
      <w:r>
        <w:t xml:space="preserve">4.1 U.S. compared with comparator regions</w:t>
      </w:r>
    </w:p>
    <w:p>
      <w:pPr>
        <w:pStyle w:val="FirstParagraph"/>
      </w:pPr>
      <w:r>
        <w:t xml:space="preserve">In 2021, the U.S. age-standardized incidence rate of BC was 24.0 [22.4, 25.2] per 100,000 in men and</w:t>
      </w:r>
      <w:r>
        <w:t xml:space="preserve"> </w:t>
      </w:r>
      <w:r>
        <w:t xml:space="preserve">7.1 [6.3, 7.4] in women, and the age-standardized mortality rate was 5.8 [5.2, 6.1] in men and 1.7 [1.4, 1.8] in</w:t>
      </w:r>
      <w:r>
        <w:t xml:space="preserve"> </w:t>
      </w:r>
      <w:r>
        <w:t xml:space="preserve">women (point estimate [95% UI]). For both sexes combined, the 2021 mortality rate was 3.4 [3.0, 3.6] in</w:t>
      </w:r>
      <w:r>
        <w:t xml:space="preserve"> </w:t>
      </w:r>
      <w:r>
        <w:t xml:space="preserve">the U.S., compared with 4.6 [4.1, 4.9] in the European Union,</w:t>
      </w:r>
      <w:r>
        <w:t xml:space="preserve"> </w:t>
      </w:r>
      <w:r>
        <w:t xml:space="preserve">3.5 [3.1, 3.7] in the high-income aggregate and 3.4 [3.0, 3.6] in the</w:t>
      </w:r>
      <w:r>
        <w:t xml:space="preserve"> </w:t>
      </w:r>
      <w:r>
        <w:t xml:space="preserve">high-SDI aggregate (all per 100,000).</w:t>
      </w:r>
    </w:p>
    <w:p>
      <w:pPr>
        <w:pStyle w:val="BodyText"/>
      </w:pPr>
      <w:r>
        <w:t xml:space="preserve">The U.S. ASR of incidence (both sexes) peaked in 2011 (16.5 [15.4, 17.0] per 100,000) and</w:t>
      </w:r>
      <w:r>
        <w:t xml:space="preserve"> </w:t>
      </w:r>
      <w:r>
        <w:t xml:space="preserve">the ASR of prevalence in 2011 (113.9 [108.3, 117.2]). The U.S. point estimate of the</w:t>
      </w:r>
      <w:r>
        <w:t xml:space="preserve"> </w:t>
      </w:r>
      <w:r>
        <w:t xml:space="preserve">incidence ASR exceeded that of each comparator in the following numbers of years:</w:t>
      </w:r>
      <w:r>
        <w:t xml:space="preserve"> </w:t>
      </w:r>
      <w:r>
        <w:t xml:space="preserve">European Union, 32 of 32 years; High-income, 32 of 32 years; High SDI, 32 of 32 years. For mortality, the U.S. point estimate exceeded that of each comparator</w:t>
      </w:r>
      <w:r>
        <w:t xml:space="preserve"> </w:t>
      </w:r>
      <w:r>
        <w:t xml:space="preserve">in: European Union, 0 of 42 years; High-income, 0 of 42 years; High SDI, 7 of 42 years.</w:t>
      </w:r>
      <w:r>
        <w:t xml:space="preserve"> </w:t>
      </w:r>
      <w:hyperlink w:anchor="fig-performance">
        <w:r>
          <w:rPr>
            <w:rStyle w:val="Hyperlink"/>
          </w:rPr>
          <w:t xml:space="preserve">Figure 1</w:t>
        </w:r>
      </w:hyperlink>
      <w:r>
        <w:t xml:space="preserve"> </w:t>
      </w:r>
      <w:r>
        <w:t xml:space="preserve">shows the series;</w:t>
      </w:r>
      <w:r>
        <w:t xml:space="preserve"> </w:t>
      </w:r>
      <w:hyperlink w:anchor="tbl-comparison">
        <w:r>
          <w:rPr>
            <w:rStyle w:val="Hyperlink"/>
          </w:rPr>
          <w:t xml:space="preserve">Table 1</w:t>
        </w:r>
      </w:hyperlink>
      <w:r>
        <w:t xml:space="preserve"> </w:t>
      </w:r>
      <w:r>
        <w:t xml:space="preserve">gives, for each</w:t>
      </w:r>
      <w:r>
        <w:t xml:space="preserve"> </w:t>
      </w:r>
      <w:r>
        <w:t xml:space="preserve">region and measure, the 1990 and 2021 rates and the percent changes, and is the source for the</w:t>
      </w:r>
      <w:r>
        <w:t xml:space="preserve"> </w:t>
      </w:r>
      <w:r>
        <w:t xml:space="preserve">figures quoted below.</w:t>
      </w:r>
    </w:p>
    <w:tbl>
      <w:tblPr>
        <w:tblStyle w:val="Table"/>
        <w:tblW w:type="pct" w:w="5000"/>
        <w:tblLayout w:type="fixed"/>
        <w:tblLook w:firstRow="0" w:lastRow="0" w:firstColumn="0" w:lastColumn="0" w:noHBand="0" w:noVBand="0" w:val="0000"/>
      </w:tblPr>
      <w:tblGrid>
        <w:gridCol w:w="7920"/>
      </w:tblGrid>
      <w:tr>
        <w:tc>
          <w:tcPr/>
          <w:bookmarkStart w:id="68" w:name="fig-performance"/>
          <w:p>
            <w:pPr>
              <w:pStyle w:val="Compact"/>
              <w:jc w:val="center"/>
            </w:pPr>
            <w:r>
              <w:drawing>
                <wp:inline>
                  <wp:extent cx="6400800" cy="4095427"/>
                  <wp:effectExtent b="0" l="0" r="0" t="0"/>
                  <wp:docPr descr="" title="" id="66" name="Picture"/>
                  <a:graphic>
                    <a:graphicData uri="http://schemas.openxmlformats.org/drawingml/2006/picture">
                      <pic:pic>
                        <pic:nvPicPr>
                          <pic:cNvPr descr="output/figures/US%20performance%20plot/fig_B_Bladder%20cancer_Rate.svg" id="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5"/>
                              </a:ext>
                            </a:extLst>
                          </a:blip>
                          <a:stretch>
                            <a:fillRect/>
                          </a:stretch>
                        </pic:blipFill>
                        <pic:spPr bwMode="auto">
                          <a:xfrm>
                            <a:off x="0" y="0"/>
                            <a:ext cx="6400800" cy="4095427"/>
                          </a:xfrm>
                          <a:prstGeom prst="rect">
                            <a:avLst/>
                          </a:prstGeom>
                          <a:noFill/>
                          <a:ln w="9525">
                            <a:noFill/>
                            <a:headEnd/>
                            <a:tailEnd/>
                          </a:ln>
                        </pic:spPr>
                      </pic:pic>
                    </a:graphicData>
                  </a:graphic>
                </wp:inline>
              </w:drawing>
            </w:r>
          </w:p>
          <w:p>
            <w:pPr>
              <w:jc w:val="center"/>
            </w:pPr>
            <w:pPr>
              <w:jc w:val="left"/>
              <w:spacing w:before="200"/>
              <w:pStyle w:val="ImageCaption"/>
            </w:pPr>
            <w:r>
              <w:t xml:space="preserve">Figure 1: Age-standardized bladder cancer burden rates (per 100,000; both sexes) in the U.S. compared with</w:t>
            </w:r>
            <w:r>
              <w:t xml:space="preserve"> </w:t>
            </w:r>
            <w:r>
              <w:t xml:space="preserve">the high-income and high-SDI aggregates (which include the U.S.) and the European Union. Incidence,</w:t>
            </w:r>
            <w:r>
              <w:t xml:space="preserve"> </w:t>
            </w:r>
            <w:r>
              <w:t xml:space="preserve">prevalence, YLDs and DALYs are available from 1990, deaths and YLLs from</w:t>
            </w:r>
            <w:r>
              <w:t xml:space="preserve"> </w:t>
            </w:r>
            <w:r>
              <w:t xml:space="preserve">1980.</w:t>
            </w:r>
          </w:p>
          <w:bookmarkEnd w:id="68"/>
        </w:tc>
      </w:tr>
    </w:tbl>
    <w:p>
      <w:pPr>
        <w:pStyle w:val="BodyText"/>
      </w:pPr>
      <w:r>
        <w:rPr>
          <w:i/>
          <w:iCs/>
        </w:rPr>
        <w:t xml:space="preserve">Abbreviations: DALYs: disability-adjusted life years; YLDs: years lived with disability; YLLs: years of life lost; EU: European Union; SDI: Socio-Demographic Index.</w:t>
      </w:r>
    </w:p>
    <w:tbl>
      <w:tblPr>
        <w:tblStyle w:val="Table"/>
        <w:tblW w:type="pct" w:w="5000"/>
        <w:tblLayout w:type="fixed"/>
        <w:tblLook w:firstRow="0" w:lastRow="0" w:firstColumn="0" w:lastColumn="0" w:noHBand="0" w:noVBand="0" w:val="0000"/>
      </w:tblPr>
      <w:tblGrid>
        <w:gridCol w:w="7920"/>
      </w:tblGrid>
      <w:tr>
        <w:tc>
          <w:tcPr/>
          <w:bookmarkStart w:id="69" w:name="tbl-comparison"/>
          <w:p>
            <w:pPr>
              <w:jc w:val="center"/>
            </w:pPr>
            <w:pPr>
              <w:jc w:val="left"/>
              <w:spacing w:before="200"/>
              <w:pStyle w:val="ImageCaption"/>
            </w:pPr>
            <w:r>
              <w:t xml:space="preserve">Table 1: Age-standardized rates (per 100,000; both sexes) and percent change, U.S. and comparator regions. Values are point estimate [95% UI]. Percent-change UIs are approximate (see Methods,</w:t>
            </w:r>
            <w:r>
              <w:t xml:space="preserve"> </w:t>
            </w:r>
            <w:hyperlink w:anchor="sec-app-uncert">
              <w:r>
                <w:rPr>
                  <w:rStyle w:val="Hyperlink"/>
                </w:rPr>
                <w:t xml:space="preserve">Section 3.3.2</w:t>
              </w:r>
            </w:hyperlink>
            <w:r>
              <w:t xml:space="preserve">); the U.S. is part of the high-income and high-SDI aggregates. Changes with both UIs on positive or negative are colored in red and green, respectively.</w:t>
            </w:r>
          </w:p>
          <w:tbl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pic="http://schemas.openxmlformats.org/drawingml/2006/picture">
            <w:tblPr>
              <w:tblLayout w:type="fixed"/>
              <w:jc w:val="center"/>
              <w:tblLook w:firstRow="1" w:lastRow="0" w:firstColumn="0" w:lastColumn="0" w:noHBand="0" w:noVBand="1"/>
            </w:tblPr>
            <w:tblGrid>
              <w:gridCol w:w="986"/>
              <w:gridCol w:w="1336"/>
              <w:gridCol w:w="1543"/>
              <w:gridCol w:w="1463"/>
              <w:gridCol w:w="1892"/>
              <w:gridCol w:w="1892"/>
            </w:tblGrid>
            <w:tr>
              <w:trPr>
                <w:trHeight w:val="398" w:hRule="auto"/>
                <w:tblHeader/>
              </w:trPr>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Measure</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Region</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1990</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2021</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 change 1990–2021</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 change 2010–2021</w:t>
                  </w:r>
                </w:p>
              </w:tc>
            </w:tr>
            <w:tr>
              <w:trPr>
                <w:trHeight w:val="368" w:hRule="auto"/>
              </w:trPr>
              <w:tc>
                <w:tcPr>
                  <w:vMerge w:val="restart"/>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Incidence</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United States</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14.2 [13.5, 14.7]</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14.7 [13.6, 15.4]</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+3.6% [−3.7%, +11.4%]</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−10.5% [−17.4%, −3.1%]</w:t>
                  </w:r>
                </w:p>
              </w:tc>
            </w:tr>
            <w:tr>
              <w:trPr>
                <w:trHeight w:val="368" w:hRule="auto"/>
              </w:trPr>
              <w:tc>
                <w:tcPr>
                  <w:vMerge/>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European Union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13.4 [12.8, 13.8]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13.1 [12.1, 13.9]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−2.3% [−9.6%, +5.7%]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−8.7% [−15.9%, −0.9%]</w:t>
                  </w:r>
                </w:p>
              </w:tc>
            </w:tr>
            <w:tr>
              <w:trPr>
                <w:trHeight w:val="368" w:hRule="auto"/>
              </w:trPr>
              <w:tc>
                <w:tcPr>
                  <w:vMerge/>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High-income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12.6 [12.0, 13.0]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11.5 [10.6, 12.0]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−9.1% [−15.7%, −1.9%]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−10.1% [−17.1%, −2.4%]</w:t>
                  </w:r>
                </w:p>
              </w:tc>
            </w:tr>
            <w:tr>
              <w:trPr>
                <w:trHeight w:val="368" w:hRule="auto"/>
              </w:trPr>
              <w:tc>
                <w:tcPr>
                  <w:vMerge/>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High SDI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11.2 [10.7, 11.6]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10.6 [9.8, 11.1]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−5.3% [−12.2%, +2.1%]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−7.7% [−14.9%, 0.0%]</w:t>
                  </w:r>
                </w:p>
              </w:tc>
            </w:tr>
            <w:tr>
              <w:trPr>
                <w:trHeight w:val="368" w:hRule="auto"/>
              </w:trPr>
              <w:tc>
                <w:tcPr>
                  <w:vMerge w:val="restart"/>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Prevalence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United States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94.0 [90.6, 96.8]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100.6 [95.0, 104.6]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8B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8B0000"/>
                    </w:rPr>
                    <w:t xml:space="preserve">+7.0% [+1.0%, +13.5%]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−11.4% [−16.8%, −5.7%]</w:t>
                  </w:r>
                </w:p>
              </w:tc>
            </w:tr>
            <w:tr>
              <w:trPr>
                <w:trHeight w:val="368" w:hRule="auto"/>
              </w:trPr>
              <w:tc>
                <w:tcPr>
                  <w:vMerge/>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European Union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72.2 [69.5, 74.5]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80.6 [75.8, 85.2]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8B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8B0000"/>
                    </w:rPr>
                    <w:t xml:space="preserve">+11.6% [+4.3%, +19.5%]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−7.6% [−13.7%, −1.1%]</w:t>
                  </w:r>
                </w:p>
              </w:tc>
            </w:tr>
            <w:tr>
              <w:trPr>
                <w:trHeight w:val="368" w:hRule="auto"/>
              </w:trPr>
              <w:tc>
                <w:tcPr>
                  <w:vMerge/>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High-income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73.0 [70.5, 75.2]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73.8 [69.1, 77.0]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+1.1% [−5.0%, +7.6%]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−9.4% [−15.1%, −3.3%]</w:t>
                  </w:r>
                </w:p>
              </w:tc>
            </w:tr>
            <w:tr>
              <w:trPr>
                <w:trHeight w:val="368" w:hRule="auto"/>
              </w:trPr>
              <w:tc>
                <w:tcPr>
                  <w:vMerge/>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High SDI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63.6 [61.2, 65.4]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66.8 [62.8, 69.6]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+5.1% [−1.1%, +11.6%]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−7.1% [−12.7%, −1.2%]</w:t>
                  </w:r>
                </w:p>
              </w:tc>
            </w:tr>
            <w:tr>
              <w:trPr>
                <w:trHeight w:val="368" w:hRule="auto"/>
              </w:trPr>
              <w:tc>
                <w:tcPr>
                  <w:vMerge w:val="restart"/>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Mortality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United States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3.5 [3.3, 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3.4 [3.0, 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−3.0% [−12.8%, +7.9%]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−6.3% [−16.6%, +5.2%]</w:t>
                  </w:r>
                </w:p>
              </w:tc>
            </w:tr>
            <w:tr>
              <w:trPr>
                <w:trHeight w:val="368" w:hRule="auto"/>
              </w:trPr>
              <w:tc>
                <w:tcPr>
                  <w:vMerge/>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European Union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5.8 [5.5, 6.0]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4.6 [4.1, 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−21.2% [−28.4%, −13.2%]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−8.9% [−17.9%, +1.1%]</w:t>
                  </w:r>
                </w:p>
              </w:tc>
            </w:tr>
            <w:tr>
              <w:trPr>
                <w:trHeight w:val="368" w:hRule="auto"/>
              </w:trPr>
              <w:tc>
                <w:tcPr>
                  <w:vMerge/>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High-income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4.7 [4.4, 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3.5 [3.1, 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−25.7% [−33.0%, −17.8%]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−10.2% [−19.8%, +0.6%]</w:t>
                  </w:r>
                </w:p>
              </w:tc>
            </w:tr>
            <w:tr>
              <w:trPr>
                <w:trHeight w:val="368" w:hRule="auto"/>
              </w:trPr>
              <w:tc>
                <w:tcPr>
                  <w:vMerge/>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High SDI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4.4 [4.1, 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3.4 [3.0, 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−21.9% [−29.5%, −13.6%]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−8.0% [−17.5%, +2.7%]</w:t>
                  </w:r>
                </w:p>
              </w:tc>
            </w:tr>
            <w:tr>
              <w:trPr>
                <w:trHeight w:val="368" w:hRule="auto"/>
              </w:trPr>
              <w:tc>
                <w:tcPr>
                  <w:vMerge w:val="restart"/>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YLDs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United States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8.0 [5.8, 10.4]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8.4 [6.1, 10.8]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+4.1% [−30.6%, +56.4%]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−11.0% [−40.4%, +33.0%]</w:t>
                  </w:r>
                </w:p>
              </w:tc>
            </w:tr>
            <w:tr>
              <w:trPr>
                <w:trHeight w:val="368" w:hRule="auto"/>
              </w:trPr>
              <w:tc>
                <w:tcPr>
                  <w:vMerge/>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European Union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6.7 [4.9, 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7.1 [5.2, 9.4]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+6.2% [−29.7%, +60.3%]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−7.7% [−39.0%, +39.7%]</w:t>
                  </w:r>
                </w:p>
              </w:tc>
            </w:tr>
            <w:tr>
              <w:trPr>
                <w:trHeight w:val="368" w:hRule="auto"/>
              </w:trPr>
              <w:tc>
                <w:tcPr>
                  <w:vMerge/>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High-income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6.6 [4.8, 8.5]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6.4 [4.6, 8.2]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−3.4% [−35.5%, +44.7%]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−9.5% [−39.6%, +35.7%]</w:t>
                  </w:r>
                </w:p>
              </w:tc>
            </w:tr>
            <w:tr>
              <w:trPr>
                <w:trHeight w:val="368" w:hRule="auto"/>
              </w:trPr>
              <w:tc>
                <w:tcPr>
                  <w:vMerge/>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High SDI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5.8 [4.2, 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5.8 [4.3, 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+0.1% [−33.1%, +49.7%]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−7.2% [−37.8%, +38.4%]</w:t>
                  </w:r>
                </w:p>
              </w:tc>
            </w:tr>
            <w:tr>
              <w:trPr>
                <w:trHeight w:val="368" w:hRule="auto"/>
              </w:trPr>
              <w:tc>
                <w:tcPr>
                  <w:vMerge w:val="restart"/>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YLLs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United States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66.6 [63.2, 68.8]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59.8 [55.1, 62.6]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−10.1% [−16.8%, −2.9%]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−9.9% [−17.1%, −2.1%]</w:t>
                  </w:r>
                </w:p>
              </w:tc>
            </w:tr>
            <w:tr>
              <w:trPr>
                <w:trHeight w:val="368" w:hRule="auto"/>
              </w:trPr>
              <w:tc>
                <w:tcPr>
                  <w:vMerge/>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European Union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112.7 [108.1, 115.8]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82.9 [76.9, 87.8]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−26.4% [−31.7%, −20.7%]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−11.8% [−18.4%, −4.6%]</w:t>
                  </w:r>
                </w:p>
              </w:tc>
            </w:tr>
            <w:tr>
              <w:trPr>
                <w:trHeight w:val="368" w:hRule="auto"/>
              </w:trPr>
              <w:tc>
                <w:tcPr>
                  <w:vMerge/>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High-income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88.5 [84.4, 91.1]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60.4 [55.6, 63.6]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−31.7% [−36.7%, −26.2%]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−13.5% [−20.4%, −5.9%]</w:t>
                  </w:r>
                </w:p>
              </w:tc>
            </w:tr>
            <w:tr>
              <w:trPr>
                <w:trHeight w:val="368" w:hRule="auto"/>
              </w:trPr>
              <w:tc>
                <w:tcPr>
                  <w:vMerge/>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High SDI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82.1 [78.3, 84.6]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59.3 [54.7, 62.4]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−27.8% [−33.1%, −22.1%]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−11.4% [−18.3%, −4.0%]</w:t>
                  </w:r>
                </w:p>
              </w:tc>
            </w:tr>
            <w:tr>
              <w:trPr>
                <w:trHeight w:val="368" w:hRule="auto"/>
              </w:trPr>
              <w:tc>
                <w:tcPr>
                  <w:vMerge w:val="restart"/>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DALYs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United States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74.6 [70.4, 78.1]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68.1 [62.7, 72.5]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−8.6% [−16.4%, −0.1%]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−10.1% [−18.1%, −1.2%]</w:t>
                  </w:r>
                </w:p>
              </w:tc>
            </w:tr>
            <w:tr>
              <w:trPr>
                <w:trHeight w:val="368" w:hRule="auto"/>
              </w:trPr>
              <w:tc>
                <w:tcPr>
                  <w:vMerge/>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European Union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119.4 [114.7, 123.4]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90.1 [83.3, 96.0]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−24.6% [−30.4%, −18.3%]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−11.5% [−18.7%, −3.6%]</w:t>
                  </w:r>
                </w:p>
              </w:tc>
            </w:tr>
            <w:tr>
              <w:trPr>
                <w:trHeight w:val="368" w:hRule="auto"/>
              </w:trPr>
              <w:tc>
                <w:tcPr>
                  <w:vMerge/>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High-income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95.1 [90.8, 98.6]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66.8 [61.6, 70.9]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−29.7% [−35.2%, −23.8%]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−13.1% [−20.4%, −5.1%]</w:t>
                  </w:r>
                </w:p>
              </w:tc>
            </w:tr>
            <w:tr>
              <w:trPr>
                <w:trHeight w:val="383" w:hRule="auto"/>
              </w:trPr>
              <w:tc>
                <w:tcPr>
                  <w:vMerge/>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High SDI</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87.9 [84.0, 91.2]</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65.1 [60.1, 68.7]</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−26.0% [−31.6%, −20.0%]</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−11.1% [−18.3%, −3.2%]</w:t>
                  </w:r>
                </w:p>
              </w:tc>
            </w:tr>
          </w:tbl>
          <w:bookmarkEnd w:id="69"/>
        </w:tc>
      </w:tr>
    </w:tbl>
    <w:p>
      <w:pPr>
        <w:pStyle w:val="BodyText"/>
      </w:pPr>
      <w:r>
        <w:rPr>
          <w:i/>
          <w:iCs/>
        </w:rPr>
        <w:t xml:space="preserve">Abbreviations: UI, uncertainty interval; SDI, Socio-Demographic Index; YLDs, years lived with</w:t>
      </w:r>
      <w:r>
        <w:rPr>
          <w:i/>
          <w:iCs/>
        </w:rPr>
        <w:t xml:space="preserve"> </w:t>
      </w:r>
      <w:r>
        <w:rPr>
          <w:i/>
          <w:iCs/>
        </w:rPr>
        <w:t xml:space="preserve">disability; YLLs, years of life lost; DALYs, disability-adjusted life years.</w:t>
      </w:r>
    </w:p>
    <w:p>
      <w:pPr>
        <w:pStyle w:val="BodyText"/>
      </w:pPr>
      <w:r>
        <w:t xml:space="preserve">For both sexes combined, the percent change in the ASR of mortality between 1990 and 2021 was, by</w:t>
      </w:r>
      <w:r>
        <w:t xml:space="preserve"> </w:t>
      </w:r>
      <w:r>
        <w:t xml:space="preserve">region (percent change [approximate 95% UI]): United States −3.0% [−12.8%, +7.9%]; European Union −21.2% [−28.4%, −13.2%]; High-income −25.7% [−33.0%, −17.8%]; High SDI −21.9% [−29.5%, −13.6%]. For DALYs it was:</w:t>
      </w:r>
      <w:r>
        <w:t xml:space="preserve"> </w:t>
      </w:r>
      <w:r>
        <w:t xml:space="preserve">United States −8.6% [−16.4%, −0.1%]; European Union −24.6% [−30.4%, −18.3%]; High-income −29.7% [−35.2%, −23.8%]; High SDI −26.0% [−31.6%, −20.0%]. For incidence it was: United States +3.6% [−3.7%, +11.4%]; European Union −2.3% [−9.6%, +5.7%]; High-income −9.1% [−15.7%, −1.9%]; High SDI −5.3% [−12.2%, +2.1%]; and between</w:t>
      </w:r>
      <w:r>
        <w:t xml:space="preserve"> </w:t>
      </w:r>
      <w:r>
        <w:t xml:space="preserve">2010 and 2021: United States −10.5% [−17.4%, −3.1%]; European Union −8.7% [−15.9%, −0.9%]; High-income −10.1% [−17.1%, −2.4%]; High SDI −7.7% [−14.9%, 0.0%]. Sex-specific values, and values for all other</w:t>
      </w:r>
      <w:r>
        <w:t xml:space="preserve"> </w:t>
      </w:r>
      <w:r>
        <w:t xml:space="preserve">measures and for every jurisdiction, are in</w:t>
      </w:r>
      <w:r>
        <w:t xml:space="preserve"> </w:t>
      </w:r>
      <w:hyperlink w:anchor="sup-percentchange">
        <w:r>
          <w:rPr>
            <w:rStyle w:val="Hyperlink"/>
          </w:rPr>
          <w:t xml:space="preserve">Supporting Info 1</w:t>
        </w:r>
      </w:hyperlink>
      <w:r>
        <w:t xml:space="preserve"> </w:t>
      </w:r>
      <w:r>
        <w:t xml:space="preserve">and, as a</w:t>
      </w:r>
      <w:r>
        <w:t xml:space="preserve"> </w:t>
      </w:r>
      <w:r>
        <w:t xml:space="preserve">graphical table,</w:t>
      </w:r>
      <w:r>
        <w:t xml:space="preserve"> </w:t>
      </w:r>
      <w:hyperlink w:anchor="sup-percentchange-graphic">
        <w:r>
          <w:rPr>
            <w:rStyle w:val="Hyperlink"/>
          </w:rPr>
          <w:t xml:space="preserve">Supporting Info 3</w:t>
        </w:r>
      </w:hyperlink>
      <w:r>
        <w:t xml:space="preserve">. Because the percent-change</w:t>
      </w:r>
      <w:r>
        <w:t xml:space="preserve"> </w:t>
      </w:r>
      <w:r>
        <w:t xml:space="preserve">intervals are approximate and no trend model was fitted, we describe these as differences between</w:t>
      </w:r>
      <w:r>
        <w:t xml:space="preserve"> </w:t>
      </w:r>
      <w:r>
        <w:t xml:space="preserve">years, not as tests of trend. Because the high-income and high-SDI aggregates contain the U.S.,</w:t>
      </w:r>
      <w:r>
        <w:t xml:space="preserve"> </w:t>
      </w:r>
      <w:r>
        <w:t xml:space="preserve">differences between the U.S. and these aggregates are attenuated by construction.</w:t>
      </w:r>
    </w:p>
    <w:bookmarkEnd w:id="70"/>
    <w:bookmarkStart w:id="81" w:name="sec-patterns"/>
    <w:p>
      <w:pPr>
        <w:pStyle w:val="Heading2"/>
      </w:pPr>
      <w:r>
        <w:t xml:space="preserve">4.2 Age and sex patterns in the U.S.</w:t>
      </w:r>
    </w:p>
    <w:p>
      <w:pPr>
        <w:pStyle w:val="FirstParagraph"/>
      </w:pPr>
      <w:r>
        <w:t xml:space="preserve">As illustrated in</w:t>
      </w:r>
      <w:r>
        <w:t xml:space="preserve"> </w:t>
      </w:r>
      <w:hyperlink w:anchor="fig-pyramid">
        <w:r>
          <w:rPr>
            <w:rStyle w:val="Hyperlink"/>
          </w:rPr>
          <w:t xml:space="preserve">Figure 2</w:t>
        </w:r>
      </w:hyperlink>
      <w:r>
        <w:t xml:space="preserve">, in 2021 the male rate exceeded the female rate in 84</w:t>
      </w:r>
      <w:r>
        <w:t xml:space="preserve"> </w:t>
      </w:r>
      <w:r>
        <w:t xml:space="preserve">of 96 age-group–by–measure combinations. The highest 2021 age-specific rates (per 100,000)</w:t>
      </w:r>
      <w:r>
        <w:t xml:space="preserve"> </w:t>
      </w:r>
      <w:r>
        <w:t xml:space="preserve">were: DALYs, women (80+ years): 462.3 [354.7, 521.8]; men (80+ years): 1,617.1 [1,365.6, 1,752.9]. mortality, women (80+ years): 42.1 [31.9, 47.5]; men (80+ years): 142.2 [118.3, 154.5]. incidence, women (80+ years): 84.1 [63.8, 94.5]; men (80+ years): 309.3 [258.4, 335.0]. prevalence, women (75-79 years): 411.0 [358.2, 441.0]; men (75-79 years): 1,481.3 [1,366.4, 1,568.7]. YLDs, women (80+ years): 37.8 [26.7, 48.8]; men (80+ years): 136.1 [99.5, 174.7]. YLLs, women (80+ years): 424.6 [323.9, 477.4]; men (80+ years): 1,481.0 [1,241.4, 1,606.1].</w:t>
      </w:r>
    </w:p>
    <w:tbl>
      <w:tblPr>
        <w:tblStyle w:val="Table"/>
        <w:tblW w:type="pct" w:w="5000"/>
        <w:tblLayout w:type="fixed"/>
        <w:tblLook w:firstRow="0" w:lastRow="0" w:firstColumn="0" w:lastColumn="0" w:noHBand="0" w:noVBand="0" w:val="0000"/>
      </w:tblPr>
      <w:tblGrid>
        <w:gridCol w:w="7920"/>
      </w:tblGrid>
      <w:tr>
        <w:tc>
          <w:tcPr/>
          <w:bookmarkStart w:id="75" w:name="fig-pyramid"/>
          <w:p>
            <w:pPr>
              <w:pStyle w:val="Compact"/>
              <w:jc w:val="center"/>
            </w:pPr>
            <w:r>
              <w:drawing>
                <wp:inline>
                  <wp:extent cx="6400800" cy="3200400"/>
                  <wp:effectExtent b="0" l="0" r="0" t="0"/>
                  <wp:docPr descr="" title="" id="72" name="Picture"/>
                  <a:graphic>
                    <a:graphicData uri="http://schemas.openxmlformats.org/drawingml/2006/picture">
                      <pic:pic>
                        <pic:nvPicPr>
                          <pic:cNvPr descr="output/figures/US_combined_pyramid.svg" id="73" name="Picture"/>
                          <pic:cNvPicPr>
                            <a:picLocks noChangeArrowheads="1" noChangeAspect="1"/>
                          </pic:cNvPicPr>
                        </pic:nvPicPr>
                        <pic:blipFill>
                          <a:blip r:embed="rId74">
                            <a:extLst>
                              <a:ext uri="{28A0092B-C50C-407E-A947-70E740481C1C}">
                                <a14:useLocalDpi xmlns:a14="http://schemas.microsoft.com/office/drawing/2010/main" val="0"/>
                              </a:ext>
                              <a:ext uri="{96DAC541-7B7A-43D3-8B79-37D633B846F1}">
                                <asvg:svgBlip xmlns:asvg="http://schemas.microsoft.com/office/drawing/2016/SVG/main" r:embed="rId71"/>
                              </a:ext>
                            </a:extLst>
                          </a:blip>
                          <a:stretch>
                            <a:fillRect/>
                          </a:stretch>
                        </pic:blipFill>
                        <pic:spPr bwMode="auto">
                          <a:xfrm>
                            <a:off x="0" y="0"/>
                            <a:ext cx="6400800" cy="3200400"/>
                          </a:xfrm>
                          <a:prstGeom prst="rect">
                            <a:avLst/>
                          </a:prstGeom>
                          <a:noFill/>
                          <a:ln w="9525">
                            <a:noFill/>
                            <a:headEnd/>
                            <a:tailEnd/>
                          </a:ln>
                        </pic:spPr>
                      </pic:pic>
                    </a:graphicData>
                  </a:graphic>
                </wp:inline>
              </w:drawing>
            </w:r>
          </w:p>
          <w:p>
            <w:pPr>
              <w:jc w:val="center"/>
            </w:pPr>
            <w:pPr>
              <w:jc w:val="left"/>
              <w:spacing w:before="200"/>
              <w:pStyle w:val="ImageCaption"/>
            </w:pPr>
            <w:r>
              <w:t xml:space="preserve">Figure 2: Population pyramids showing age- and sex-specific bladder cancer burden rates (per 100,000) in the</w:t>
            </w:r>
            <w:r>
              <w:t xml:space="preserve"> </w:t>
            </w:r>
            <w:r>
              <w:t xml:space="preserve">U.S., 2021.</w:t>
            </w:r>
          </w:p>
          <w:bookmarkEnd w:id="75"/>
        </w:tc>
      </w:tr>
    </w:tbl>
    <w:p>
      <w:pPr>
        <w:pStyle w:val="BodyText"/>
      </w:pPr>
      <w:r>
        <w:rPr>
          <w:i/>
          <w:iCs/>
        </w:rPr>
        <w:t xml:space="preserve">Abbreviations: DALYs: disability-adjusted life years; YLDs: years lived with disability; YLLs: years of life lost.</w:t>
      </w:r>
    </w:p>
    <w:p>
      <w:pPr>
        <w:pStyle w:val="BodyText"/>
      </w:pPr>
      <w:r>
        <w:t xml:space="preserve">State-level population pyramids for 2021 are provided in</w:t>
      </w:r>
      <w:r>
        <w:t xml:space="preserve"> </w:t>
      </w:r>
      <w:hyperlink w:anchor="sup-pyramid2021">
        <w:r>
          <w:rPr>
            <w:rStyle w:val="Hyperlink"/>
          </w:rPr>
          <w:t xml:space="preserve">Supporting Info 4</w:t>
        </w:r>
      </w:hyperlink>
      <w:r>
        <w:t xml:space="preserve">, and</w:t>
      </w:r>
      <w:r>
        <w:t xml:space="preserve"> </w:t>
      </w:r>
      <w:r>
        <w:t xml:space="preserve">animated pyramids showing change by year for each state and the U.S. in</w:t>
      </w:r>
      <w:r>
        <w:t xml:space="preserve"> </w:t>
      </w:r>
      <w:hyperlink w:anchor="sup-pyramidgif">
        <w:r>
          <w:rPr>
            <w:rStyle w:val="Hyperlink"/>
          </w:rPr>
          <w:t xml:space="preserve">Supporting Info</w:t>
        </w:r>
        <w:r>
          <w:rPr>
            <w:rStyle w:val="Hyperlink"/>
          </w:rPr>
          <w:t xml:space="preserve"> </w:t>
        </w:r>
        <w:r>
          <w:rPr>
            <w:rStyle w:val="Hyperlink"/>
          </w:rPr>
          <w:t xml:space="preserve">5</w:t>
        </w:r>
      </w:hyperlink>
      <w:r>
        <w:t xml:space="preserve">.</w:t>
      </w:r>
      <w:r>
        <w:t xml:space="preserve"> </w:t>
      </w:r>
      <w:hyperlink w:anchor="fig-apc">
        <w:r>
          <w:rPr>
            <w:rStyle w:val="Hyperlink"/>
          </w:rPr>
          <w:t xml:space="preserve">Figure 3</w:t>
        </w:r>
      </w:hyperlink>
      <w:r>
        <w:t xml:space="preserve"> </w:t>
      </w:r>
      <w:r>
        <w:t xml:space="preserve">displays age-specific rates in 1990, 2000, 2010 and 2021 by sex. It is</w:t>
      </w:r>
      <w:r>
        <w:t xml:space="preserve"> </w:t>
      </w:r>
      <w:r>
        <w:t xml:space="preserve">a descriptive age-by-period display; no age–period–cohort model was fitted. Corresponding plots for</w:t>
      </w:r>
      <w:r>
        <w:t xml:space="preserve"> </w:t>
      </w:r>
      <w:r>
        <w:t xml:space="preserve">each state are in</w:t>
      </w:r>
      <w:r>
        <w:t xml:space="preserve"> </w:t>
      </w:r>
      <w:hyperlink w:anchor="sup-apc">
        <w:r>
          <w:rPr>
            <w:rStyle w:val="Hyperlink"/>
          </w:rPr>
          <w:t xml:space="preserve">Supporting Info 6</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80" w:name="fig-apc"/>
          <w:p>
            <w:pPr>
              <w:pStyle w:val="Compact"/>
              <w:jc w:val="center"/>
            </w:pPr>
            <w:r>
              <w:drawing>
                <wp:inline>
                  <wp:extent cx="6400800" cy="4800600"/>
                  <wp:effectExtent b="0" l="0" r="0" t="0"/>
                  <wp:docPr descr="" title="" id="77" name="Picture"/>
                  <a:graphic>
                    <a:graphicData uri="http://schemas.openxmlformats.org/drawingml/2006/picture">
                      <pic:pic>
                        <pic:nvPicPr>
                          <pic:cNvPr descr="output/figures/US_combined_apc.svg" id="78" name="Picture"/>
                          <pic:cNvPicPr>
                            <a:picLocks noChangeArrowheads="1" noChangeAspect="1"/>
                          </pic:cNvPicPr>
                        </pic:nvPicPr>
                        <pic:blipFill>
                          <a:blip r:embed="rId79">
                            <a:extLst>
                              <a:ext uri="{28A0092B-C50C-407E-A947-70E740481C1C}">
                                <a14:useLocalDpi xmlns:a14="http://schemas.microsoft.com/office/drawing/2010/main" val="0"/>
                              </a:ext>
                              <a:ext uri="{96DAC541-7B7A-43D3-8B79-37D633B846F1}">
                                <asvg:svgBlip xmlns:asvg="http://schemas.microsoft.com/office/drawing/2016/SVG/main" r:embed="rId76"/>
                              </a:ext>
                            </a:extLst>
                          </a:blip>
                          <a:stretch>
                            <a:fillRect/>
                          </a:stretch>
                        </pic:blipFill>
                        <pic:spPr bwMode="auto">
                          <a:xfrm>
                            <a:off x="0" y="0"/>
                            <a:ext cx="6400800" cy="4800600"/>
                          </a:xfrm>
                          <a:prstGeom prst="rect">
                            <a:avLst/>
                          </a:prstGeom>
                          <a:noFill/>
                          <a:ln w="9525">
                            <a:noFill/>
                            <a:headEnd/>
                            <a:tailEnd/>
                          </a:ln>
                        </pic:spPr>
                      </pic:pic>
                    </a:graphicData>
                  </a:graphic>
                </wp:inline>
              </w:drawing>
            </w:r>
          </w:p>
          <w:p>
            <w:pPr>
              <w:jc w:val="center"/>
            </w:pPr>
            <w:pPr>
              <w:jc w:val="left"/>
              <w:spacing w:before="200"/>
              <w:pStyle w:val="ImageCaption"/>
            </w:pPr>
            <w:r>
              <w:t xml:space="preserve">Figure 3: Age-specific bladder cancer burden rates (per 100,000) by sex in the U.S. in 1990, 2000, 2010 and</w:t>
            </w:r>
            <w:r>
              <w:t xml:space="preserve"> </w:t>
            </w:r>
            <w:r>
              <w:t xml:space="preserve">2021 (descriptive; no age–period–cohort model</w:t>
            </w:r>
            <w:r>
              <w:t xml:space="preserve"> </w:t>
            </w:r>
            <w:r>
              <w:t xml:space="preserve">fitted).</w:t>
            </w:r>
          </w:p>
          <w:bookmarkEnd w:id="80"/>
        </w:tc>
      </w:tr>
    </w:tbl>
    <w:p>
      <w:pPr>
        <w:pStyle w:val="BodyText"/>
      </w:pPr>
      <w:r>
        <w:rPr>
          <w:i/>
          <w:iCs/>
        </w:rPr>
        <w:t xml:space="preserve">Abbreviations: DALYs: disability-adjusted life years; YLDs: years lived with disability; YLLs: years of life lost.</w:t>
      </w:r>
    </w:p>
    <w:p>
      <w:pPr>
        <w:pStyle w:val="BodyText"/>
      </w:pPr>
      <w:r>
        <w:t xml:space="preserve">Absolute case and death counts were not part of the extracted dataset; we therefore cannot report changes in the number of cases.</w:t>
      </w:r>
    </w:p>
    <w:bookmarkEnd w:id="81"/>
    <w:bookmarkStart w:id="91" w:name="bladder-cancer-burden-across-u.s.-states"/>
    <w:p>
      <w:pPr>
        <w:pStyle w:val="Heading2"/>
      </w:pPr>
      <w:r>
        <w:t xml:space="preserve">4.3 Bladder cancer burden across U.S. states</w:t>
      </w:r>
    </w:p>
    <w:p>
      <w:pPr>
        <w:pStyle w:val="FirstParagraph"/>
      </w:pPr>
      <w:r>
        <w:t xml:space="preserve">State-specific, sex-stratified temporal trends in age-standardized</w:t>
      </w:r>
      <w:r>
        <w:t xml:space="preserve"> </w:t>
      </w:r>
      <w:r>
        <w:rPr>
          <w:i/>
          <w:iCs/>
        </w:rPr>
        <w:t xml:space="preserve">incidence</w:t>
      </w:r>
      <w:r>
        <w:t xml:space="preserve"> </w:t>
      </w:r>
      <w:r>
        <w:t xml:space="preserve">rates are displayed</w:t>
      </w:r>
      <w:r>
        <w:t xml:space="preserve"> </w:t>
      </w:r>
      <w:r>
        <w:t xml:space="preserve">in</w:t>
      </w:r>
      <w:r>
        <w:t xml:space="preserve"> </w:t>
      </w:r>
      <w:hyperlink w:anchor="fig-geofacet">
        <w:r>
          <w:rPr>
            <w:rStyle w:val="Hyperlink"/>
          </w:rPr>
          <w:t xml:space="preserve">Figure 4</w:t>
        </w:r>
      </w:hyperlink>
      <w:r>
        <w:t xml:space="preserve">; geofaceted plots for the other five measures are provided in</w:t>
      </w:r>
      <w:r>
        <w:t xml:space="preserve"> </w:t>
      </w:r>
      <w:hyperlink w:anchor="sup-geofacet">
        <w:r>
          <w:rPr>
            <w:rStyle w:val="Hyperlink"/>
          </w:rPr>
          <w:t xml:space="preserve">Supporting Info</w:t>
        </w:r>
        <w:r>
          <w:rPr>
            <w:rStyle w:val="Hyperlink"/>
          </w:rPr>
          <w:t xml:space="preserve"> </w:t>
        </w:r>
        <w:r>
          <w:rPr>
            <w:rStyle w:val="Hyperlink"/>
          </w:rPr>
          <w:t xml:space="preserve">7</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85" w:name="fig-geofacet"/>
          <w:p>
            <w:pPr>
              <w:pStyle w:val="Compact"/>
              <w:jc w:val="center"/>
            </w:pPr>
            <w:r>
              <w:drawing>
                <wp:inline>
                  <wp:extent cx="6400800" cy="3342493"/>
                  <wp:effectExtent b="0" l="0" r="0" t="0"/>
                  <wp:docPr descr="" title="" id="83" name="Picture"/>
                  <a:graphic>
                    <a:graphicData uri="http://schemas.openxmlformats.org/drawingml/2006/picture">
                      <pic:pic>
                        <pic:nvPicPr>
                          <pic:cNvPr descr="output/figures/Geofacet%20plot/fig_A_Incidence_Bladder%20cancer_Rate.svg" id="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2"/>
                              </a:ext>
                            </a:extLst>
                          </a:blip>
                          <a:stretch>
                            <a:fillRect/>
                          </a:stretch>
                        </pic:blipFill>
                        <pic:spPr bwMode="auto">
                          <a:xfrm>
                            <a:off x="0" y="0"/>
                            <a:ext cx="6400800" cy="3342493"/>
                          </a:xfrm>
                          <a:prstGeom prst="rect">
                            <a:avLst/>
                          </a:prstGeom>
                          <a:noFill/>
                          <a:ln w="9525">
                            <a:noFill/>
                            <a:headEnd/>
                            <a:tailEnd/>
                          </a:ln>
                        </pic:spPr>
                      </pic:pic>
                    </a:graphicData>
                  </a:graphic>
                </wp:inline>
              </w:drawing>
            </w:r>
          </w:p>
          <w:p>
            <w:pPr>
              <w:jc w:val="center"/>
            </w:pPr>
            <w:pPr>
              <w:jc w:val="left"/>
              <w:spacing w:before="200"/>
              <w:pStyle w:val="ImageCaption"/>
            </w:pPr>
            <w:r>
              <w:t xml:space="preserve">Figure 4: State-level historical trends in age-standardized bladder cancer</w:t>
            </w:r>
            <w:r>
              <w:t xml:space="preserve"> </w:t>
            </w:r>
            <w:r>
              <w:rPr>
                <w:i/>
                <w:iCs/>
              </w:rPr>
              <w:t xml:space="preserve">incidence</w:t>
            </w:r>
            <w:r>
              <w:t xml:space="preserve"> </w:t>
            </w:r>
            <w:r>
              <w:t xml:space="preserve">rates (per 100,000),</w:t>
            </w:r>
            <w:r>
              <w:t xml:space="preserve"> </w:t>
            </w:r>
            <w:r>
              <w:t xml:space="preserve">U.S., stratified by sex. States are arranged to approximate their geographic location; the grey band</w:t>
            </w:r>
            <w:r>
              <w:t xml:space="preserve"> </w:t>
            </w:r>
            <w:r>
              <w:t xml:space="preserve">is the U.S. (both</w:t>
            </w:r>
            <w:r>
              <w:t xml:space="preserve"> </w:t>
            </w:r>
            <w:r>
              <w:t xml:space="preserve">sexes).</w:t>
            </w:r>
          </w:p>
          <w:bookmarkEnd w:id="85"/>
        </w:tc>
      </w:tr>
    </w:tbl>
    <w:p>
      <w:pPr>
        <w:pStyle w:val="BodyText"/>
      </w:pPr>
      <w:r>
        <w:rPr>
          <w:i/>
          <w:iCs/>
        </w:rPr>
        <w:t xml:space="preserve">Abbreviations: Alabama: AL; Alaska: AK; Arizona: AZ; Arkansas: AR; California: CA; Colorado: CO; Connecticut: CT; Delaware: DE; District of Columbia: DC; Florida: FL; Georgia: GA; Hawaii: HI; Idaho: ID; Illinois: IL; Indiana: IN; Iowa: IA; Kansas: KS; Kentucky: KY; Louisiana: LA; Maine: ME; Maryland: MD; Massachusetts: MA; Michigan: MI; Minnesota: MN; Mississippi: MS; Missouri: MO; Montana: MT; Nebraska: NE; Nevada: NV; New Hampshire: NH; New Jersey: NJ; New Mexico: NM; New York: NY; North Carolina: NC; North Dakota: ND; Ohio: OH; Oklahoma: OK; Oregon: OR; Pennsylvania: PA; Rhode Island: RI; South Carolina: SC; South Dakota: SD; Tennessee: TN; Texas: TX; Utah: UT; Vermont: VT; Virginia: VA; Washington: WA; West Virginia: WV; Wisconsin: WI; Wyoming: WY.</w:t>
      </w:r>
    </w:p>
    <w:p>
      <w:pPr>
        <w:pStyle w:val="BodyText"/>
      </w:pPr>
      <w:hyperlink w:anchor="tbl-states">
        <w:r>
          <w:rPr>
            <w:rStyle w:val="Hyperlink"/>
          </w:rPr>
          <w:t xml:space="preserve">Table 2</w:t>
        </w:r>
      </w:hyperlink>
      <w:r>
        <w:t xml:space="preserve"> </w:t>
      </w:r>
      <w:r>
        <w:t xml:space="preserve">lists the 2021 age-standardized incidence and mortality rates (both sexes), the rank of</w:t>
      </w:r>
      <w:r>
        <w:t xml:space="preserve"> </w:t>
      </w:r>
      <w:r>
        <w:t xml:space="preserve">each jurisdiction by point estimate (1 = highest), and the percent change since 1990. By point</w:t>
      </w:r>
      <w:r>
        <w:t xml:space="preserve"> </w:t>
      </w:r>
      <w:r>
        <w:t xml:space="preserve">estimate, the highest 2021 incidence ASRs (both sexes, per 100,000) were in</w:t>
      </w:r>
      <w:r>
        <w:t xml:space="preserve"> </w:t>
      </w:r>
      <w:r>
        <w:t xml:space="preserve">Maine (19.9), Nevada (18.9), Delaware (18.6), Kentucky (18.0), and West Virginia (17.5) and the lowest in</w:t>
      </w:r>
      <w:r>
        <w:t xml:space="preserve"> </w:t>
      </w:r>
      <w:r>
        <w:t xml:space="preserve">Hawaii (11.0), Utah (12.0), North Dakota (12.3), California (12.8), and South Dakota (12.9); the highest 2021 mortality ASRs were in</w:t>
      </w:r>
      <w:r>
        <w:t xml:space="preserve"> </w:t>
      </w:r>
      <w:r>
        <w:t xml:space="preserve">Maine (4.5), Nevada (4.3), Kentucky (4.2), Delaware (4.2), and West Virginia (4.1) and the lowest in Hawaii (2.3), North Dakota (2.8), California (2.9), New York (2.9), and Utah (3.0).</w:t>
      </w:r>
      <w:r>
        <w:t xml:space="preserve"> </w:t>
      </w:r>
      <w:r>
        <w:t xml:space="preserve">These are rankings of point estimates; the published 95% UIs of the 2021 ASR overlapped for</w:t>
      </w:r>
      <w:r>
        <w:t xml:space="preserve"> </w:t>
      </w:r>
      <w:r>
        <w:t xml:space="preserve">97% of all pairs of jurisdictions for incidence and 95% for mortality (</w:t>
      </w:r>
      <w:hyperlink w:anchor="tbl-states">
        <w:r>
          <w:rPr>
            <w:rStyle w:val="Hyperlink"/>
          </w:rPr>
          <w:t xml:space="preserve">Table 2</w:t>
        </w:r>
      </w:hyperlink>
      <w:r>
        <w:t xml:space="preserve">),</w:t>
      </w:r>
      <w:r>
        <w:t xml:space="preserve"> </w:t>
      </w:r>
      <w:r>
        <w:t xml:space="preserve">so the ranking itself is uncertain. Between 1990 and 2021, the largest point-estimate decreases in</w:t>
      </w:r>
      <w:r>
        <w:t xml:space="preserve"> </w:t>
      </w:r>
      <w:r>
        <w:t xml:space="preserve">incidence ASR were in Massachusetts (−21.2%), New York (−14.1%), New Jersey (−11.9%), Rhode Island (−11.3%), and Wisconsin (−9.9%), and the smallest decreases or largest</w:t>
      </w:r>
      <w:r>
        <w:t xml:space="preserve"> </w:t>
      </w:r>
      <w:r>
        <w:t xml:space="preserve">increases in West Virginia (+25.4%), Louisiana (+24.6%), Oklahoma (+24.5%), Alabama (+23.5%), and New Mexico (+22.4%). The approximate UI of the</w:t>
      </w:r>
      <w:r>
        <w:t xml:space="preserve"> </w:t>
      </w:r>
      <w:r>
        <w:t xml:space="preserve">1990–2021 percent change in incidence lay entirely below zero in 1 of</w:t>
      </w:r>
      <w:r>
        <w:t xml:space="preserve"> </w:t>
      </w:r>
      <w:r>
        <w:t xml:space="preserve">51 jurisdictions, entirely above zero in 6, and included zero</w:t>
      </w:r>
      <w:r>
        <w:t xml:space="preserve"> </w:t>
      </w:r>
      <w:r>
        <w:t xml:space="preserve">in 44; for mortality the corresponding numbers were 2,</w:t>
      </w:r>
      <w:r>
        <w:t xml:space="preserve"> </w:t>
      </w:r>
      <w:r>
        <w:t xml:space="preserve">1 and 48. Rates by sex for all six measures are in</w:t>
      </w:r>
      <w:r>
        <w:t xml:space="preserve"> </w:t>
      </w:r>
      <w:hyperlink w:anchor="sup-percentchange">
        <w:r>
          <w:rPr>
            <w:rStyle w:val="Hyperlink"/>
          </w:rPr>
          <w:t xml:space="preserve">Supporting Info 1</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86" w:name="tbl-states"/>
          <w:p>
            <w:pPr>
              <w:jc w:val="center"/>
            </w:pPr>
            <w:pPr>
              <w:jc w:val="left"/>
              <w:spacing w:before="200"/>
              <w:pStyle w:val="ImageCaption"/>
            </w:pPr>
            <w:r>
              <w:t xml:space="preserve">Table 2: Age-standardized incidence and mortality rates (per 100,000; both sexes), 2021, rank among the 50 states and DC by point estimate (1 = highest), and percent change 1990–2021, with 95% UI (percent-change UIs approximate). Changes with both UIs on positive or negative are colored in red and green, respectively.</w:t>
            </w:r>
          </w:p>
          <w:tbl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pic="http://schemas.openxmlformats.org/drawingml/2006/picture">
            <w:tblPr>
              <w:tblLayout w:type="fixed"/>
              <w:jc w:val="center"/>
              <w:tblLook w:firstRow="1" w:lastRow="0" w:firstColumn="0" w:lastColumn="0" w:noHBand="0" w:noVBand="1"/>
            </w:tblPr>
            <w:tblGrid>
              <w:gridCol w:w="1659"/>
              <w:gridCol w:w="1154"/>
              <w:gridCol w:w="547"/>
              <w:gridCol w:w="1591"/>
              <w:gridCol w:w="949"/>
              <w:gridCol w:w="547"/>
              <w:gridCol w:w="1591"/>
            </w:tblGrid>
            <w:tr>
              <w:trPr>
                <w:trHeight w:val="374" w:hRule="auto"/>
                <w:tblHeader/>
              </w:trPr>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
                  </w:r>
                </w:p>
              </w:tc>
              <w:tc>
                <w:tcPr>
                  <w:gridSpan w:val="3"/>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Incidence</w:t>
                  </w:r>
                </w:p>
              </w:tc>
              <w:tc>
                <w:tcPr>
                  <w:gridSpan w:val="3"/>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Mortality</w:t>
                  </w:r>
                </w:p>
              </w:tc>
            </w:tr>
            <w:tr>
              <w:trPr>
                <w:trHeight w:val="374" w:hRule="auto"/>
                <w:tblHeader/>
              </w:trPr>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Jurisdiction</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2021 rate</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Rank</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 change 1990–2021</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2021 rate</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Rank</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 change 1990–2021</w:t>
                  </w:r>
                </w:p>
              </w:tc>
            </w:tr>
            <w:tr>
              <w:trPr>
                <w:trHeight w:val="344" w:hRule="auto"/>
              </w:trPr>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United States of America</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14.7 [13.6, 15.4]</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+3.6% [−3.7%, +11.4%]</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3.4 [3.0, 3.6]</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−3.0% [−12.8%, +7.9%]</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Alabama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15.0 [12.6, 17.8]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8B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8B0000"/>
                    </w:rPr>
                    <w:t xml:space="preserve">+23.5% [+2.2%, +49.2%]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3.8 [3.2, 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+15.5% [−3.8%, +38.8%]</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Alaska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14.6 [12.5, 16.9]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+2.8% [−13.3%, +21.9%]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3.3 [2.8, 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−13.6% [−28.1%, +3.9%]</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Arizona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15.3 [12.8, 18.3]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+6.6% [−12.3%, +29.5%]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3.4 [2.8, 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−2.7% [−19.8%, +18.0%]</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Arkansas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15.0 [12.5, 17.7]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+15.7% [−4.1%, +39.6%]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3.7 [3.1, 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+7.7% [−10.6%, +29.8%]</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California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12.8 [10.7, 14.9]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+3.6% [−13.5%, +24.1%]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2.9 [2.4, 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−8.8% [−23.7%, +8.9%]</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Colorado</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13.0 [10.5, 15.6]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+1.4% [−18.1%, +25.6%]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3.0 [2.4, 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−1.0% [−20.8%, +23.7%]</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Connecticut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14.9 [12.1, 17.8]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−8.3% [−25.5%, +12.9%]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3.5 [2.8, 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−9.5% [−26.3%, +11.2%]</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Delaware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18.6 [15.8, 21.5]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+9.5% [−7.5%, +29.6%]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4.2 [3.6, 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−2.8% [−18.1%, +15.3%]</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District of Columbia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13.7 [11.3, 16.4]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+11.5% [−8.4%, +35.7%]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3.3 [2.7, 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6400"/>
                    </w:rPr>
                    <w:t xml:space="preserve">−25.1% [−38.1%, −9.4%]</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Florida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16.1 [13.3, 19.0]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+9.1% [−9.9%, +32.1%]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3.5 [2.9, 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+0.2% [−17.7%, +21.9%]</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Georgia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14.7 [12.2, 17.6]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+21.0% [−0.3%, +46.9%]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3.6 [3.0, 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+7.2% [−10.8%, +29.0%]</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Hawaii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11.0 [9.1, 13.2]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+12.2% [−8.8%, +38.1%]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2.3 [1.9, 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−2.9% [−22.0%, +20.8%]</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Idaho</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15.0 [12.3, 17.8]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+16.1% [−5.0%, +41.9%]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3.7 [3.0, 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+13.7% [−6.8%, +38.8%]</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Illinois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15.3 [12.8, 18.1]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+7.3% [−10.9%, +29.3%]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3.5 [2.9, 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−1.9% [−18.8%, +18.5%]</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Indiana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16.3 [13.5, 19.3]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+10.9% [−8.6%, +34.5%]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3.9 [3.2, 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+9.8% [−9.3%, +32.9%]</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Iowa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14.5 [12.1, 17.4]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+11.1% [−8.9%, +35.5%]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3.3 [2.8, 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+10.7% [−8.1%, +33.4%]</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Kansas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15.0 [12.4, 18.1]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+19.6% [−2.6%, +46.9%]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3.4 [2.9, 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+20.0% [−0.9%, +45.2%]</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Kentucky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18.0 [15.1, 21.4]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+16.3% [−3.5%, +40.1%]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4.2 [3.5, 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+15.5% [−4.0%, +39.0%]</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Louisiana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15.8 [13.3, 18.6]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8B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8B0000"/>
                    </w:rPr>
                    <w:t xml:space="preserve">+24.6% [+4.0%, +49.2%]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3.8 [3.2, 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+12.7% [−5.3%, +34.1%]</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Maine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19.9 [16.5, 24.0]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+5.8% [−13.7%, +29.9%]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4.5 [3.8, 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+3.6% [−14.7%, +25.9%]</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Maryland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15.3 [12.6, 18.1]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−4.9% [−21.8%, +15.7%]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3.5 [2.9, 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−15.3% [−30.3%, +2.8%]</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Massachusetts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14.6 [12.0, 17.5]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6400"/>
                    </w:rPr>
                    <w:t xml:space="preserve">−21.2% [−35.7%, −3.4%]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3.4 [2.8, 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−15.2% [−30.2%, +3.0%]</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Michigan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14.5 [12.3, 17.1]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+1.6% [−15.0%, +21.6%]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3.5 [2.9, 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−6.1% [−21.3%, +12.0%]</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Minnesota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13.7 [11.2, 16.4]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−4.4% [−22.0%, +17.1%]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3.3 [2.6, 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+4.2% [−15.0%, +27.7%]</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Mississippi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13.0 [11.0, 15.4]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+16.9% [−2.7%, +40.3%]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3.4 [2.9, 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+8.6% [−8.8%, +29.3%]</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Missouri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15.7 [13.1, 18.6]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+14.9% [−4.9%, +38.9%]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3.6 [3.1, 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+8.2% [−8.9%, +28.6%]</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Montana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14.9 [12.3, 17.6]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+6.7% [−12.2%, +29.6%]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3.5 [2.9, 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+0.5% [−17.6%, +22.4%]</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Nebraska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14.2 [11.8, 16.8]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+3.4% [−15.0%, +25.9%]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3.3 [2.7, 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+6.0% [−13.4%, +29.9%]</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Nevada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18.9 [15.4, 22.5]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+14.0% [−7.0%, +39.8%]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4.3 [3.5, 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+1.2% [−17.1%, +23.4%]</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New Hampshire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16.5 [13.4, 19.8]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−9.1% [−26.3%, +12.1%]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3.9 [3.2, 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−6.8% [−24.4%, +15.1%]</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New Jersey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15.4 [12.7, 18.4]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−11.9% [−27.8%, +7.5%]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3.5 [2.9, 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−16.6% [−31.5%, +1.6%]</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New Mexico</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13.2 [11.0, 15.6]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8B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8B0000"/>
                    </w:rPr>
                    <w:t xml:space="preserve">+22.4% [+0.8%, +48.6%]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3.0 [2.5, 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+2.7% [−15.8%, +25.4%]</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New York</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13.0 [10.6, 15.4]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−14.1% [−29.5%, +4.7%]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2.9 [2.4, 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6400"/>
                    </w:rPr>
                    <w:t xml:space="preserve">−24.5% [−38.4%, −7.5%]</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North Carolina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14.8 [12.4, 17.6]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+19.5% [−0.9%, +44.2%]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3.5 [2.9, 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+8.7% [−10.2%, +31.7%]</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North Dakota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12.3 [10.3, 14.3]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−3.4% [−20.0%, +16.6%]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2.8 [2.3, 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−5.0% [−21.3%, +14.8%]</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Ohio</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16.8 [13.9, 19.8]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+7.9% [−10.7%, +30.4%]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4.0 [3.4, 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+6.0% [−11.4%, +26.8%]</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Oklahoma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15.4 [12.9, 18.2]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8B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8B0000"/>
                    </w:rPr>
                    <w:t xml:space="preserve">+24.5% [+3.2%, +50.2%]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3.7 [3.1, 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8B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8B0000"/>
                    </w:rPr>
                    <w:t xml:space="preserve">+23.7% [+3.1%, +48.4%]</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Oregon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16.0 [13.2, 19.3]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+7.7% [−12.3%, +32.2%]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3.5 [3.0, 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 [−16.9%, +24.1%]</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Pennsylvania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15.7 [13.0, 18.7]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−2.6% [−20.0%, +18.5%]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3.7 [3.0, 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−6.0% [−23.0%, +14.9%]</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Rhode Island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14.9 [12.2, 17.6]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−11.3% [−27.6%, +8.7%]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3.5 [2.9, 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−11.5% [−27.2%, +7.6%]</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South Carolina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14.7 [12.1, 17.1]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8B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8B0000"/>
                    </w:rPr>
                    <w:t xml:space="preserve">+20.8% [+0.5%, +45.2%]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3.5 [3.0, 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+4.2% [−12.5%, +24.0%]</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South Dakota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12.9 [10.9, 15.2]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+2.8% [−14.7%, +24.0%]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3.0 [2.5, 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−1.2% [−18.9%, +20.4%]</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Tennessee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15.3 [12.8, 18.1]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+19.6% [−0.7%, +44.1%]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3.7 [3.1, 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+11.0% [−7.2%, +32.6%]</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Texas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13.3 [11.3, 15.5]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+9.7% [−7.4%, +29.9%]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3.1 [2.6, 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+0.8% [−15.4%, +20.1%]</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Utah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12.0 [10.0, 14.3]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+11.2% [−8.5%, +35.3%]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3.0 [2.5, 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+6.2% [−12.7%, +29.3%]</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Vermont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16.1 [13.6, 18.6]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−3.1% [−18.9%, +15.7%]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3.7 [3.0, 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−9.8% [−25.3%, +9.0%]</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Virginia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15.1 [12.5, 18.0]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+3.8% [−14.5%, +26.1%]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3.4 [2.8, 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−3.9% [−21.1%, +17.1%]</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Washington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14.3 [11.8, 16.9]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−0.4% [−17.9%, +20.9%]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3.3 [2.7, 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−1.7% [−19.1%, +19.3%]</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West Virginia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17.5 [14.7, 20.3]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8B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8B0000"/>
                    </w:rPr>
                    <w:t xml:space="preserve">+25.4% [+5.0%, +49.7%]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4.1 [3.5, 4.8]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+15.3% [−3.1%, +37.0%]</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Wisconsin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14.2 [11.8, 17.2]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−9.9% [−26.3%, +10.2%]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3.4 [2.8, 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−6.5% [−23.9%, +14.8%]</w:t>
                  </w:r>
                </w:p>
              </w:tc>
            </w:tr>
            <w:tr>
              <w:trPr>
                <w:trHeight w:val="359" w:hRule="auto"/>
              </w:trPr>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Wyoming</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15.4 [13.0, 17.7]</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17</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+18.7% [−0.1%, +41.1%]</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3.5 [2.9, 3.9]</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30</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+5.9% [−10.9%, +25.9%]</w:t>
                  </w:r>
                </w:p>
              </w:tc>
            </w:tr>
          </w:tbl>
          <w:bookmarkEnd w:id="86"/>
        </w:tc>
      </w:tr>
    </w:tbl>
    <w:p>
      <w:pPr>
        <w:pStyle w:val="BodyText"/>
      </w:pPr>
      <w:hyperlink w:anchor="fig-discrep">
        <w:r>
          <w:rPr>
            <w:rStyle w:val="Hyperlink"/>
          </w:rPr>
          <w:t xml:space="preserve">Figure 5</w:t>
        </w:r>
      </w:hyperlink>
      <w:r>
        <w:t xml:space="preserve"> </w:t>
      </w:r>
      <w:r>
        <w:t xml:space="preserve">displays male-to-female rate ratios of ASRs in 2021 for each jurisdiction and measure.</w:t>
      </w:r>
      <w:r>
        <w:t xml:space="preserve"> </w:t>
      </w:r>
      <w:r>
        <w:t xml:space="preserve">Because incidence is derived from mortality and prevalence and YLDs are derived from incidence and</w:t>
      </w:r>
      <w:r>
        <w:t xml:space="preserve"> </w:t>
      </w:r>
      <w:r>
        <w:t xml:space="preserve">survival in the GBD cancer models</w:t>
      </w:r>
      <w:r>
        <w:t xml:space="preserve"> </w:t>
      </w:r>
      <w:r>
        <w:t xml:space="preserve">(20)</w:t>
      </w:r>
      <w:r>
        <w:t xml:space="preserve">, the six ratios are strongly related by</w:t>
      </w:r>
      <w:r>
        <w:t xml:space="preserve"> </w:t>
      </w:r>
      <w:r>
        <w:t xml:space="preserve">construction and are not independent evidence; we therefore describe incidence and mortality. Across</w:t>
      </w:r>
      <w:r>
        <w:t xml:space="preserve"> </w:t>
      </w:r>
      <w:r>
        <w:t xml:space="preserve">the 50 states and DC, male:female incidence rate ratios ranged from District of Columbia, 2.5 [1.8, 3.4] (lowest point</w:t>
      </w:r>
      <w:r>
        <w:t xml:space="preserve"> </w:t>
      </w:r>
      <w:r>
        <w:t xml:space="preserve">estimate) to North Dakota, 4.1 [3.1, 5.4] (highest point estimate), and mortality ratios from District of Columbia, 2.4 [1.8, 3.2]</w:t>
      </w:r>
      <w:r>
        <w:t xml:space="preserve"> </w:t>
      </w:r>
      <w:r>
        <w:t xml:space="preserve">to South Dakota, 4.2 [3.2, 5.6] (ratio [approximate 95% UI]). The approximate UIs of the lowest and highest</w:t>
      </w:r>
      <w:r>
        <w:t xml:space="preserve"> </w:t>
      </w:r>
      <w:r>
        <w:t xml:space="preserve">jurisdictions overlapped for incidence and overlapped for mortality.</w:t>
      </w:r>
      <w:r>
        <w:t xml:space="preserve"> </w:t>
      </w:r>
      <w:r>
        <w:t xml:space="preserve">These UIs assume independence between the male and female estimates (</w:t>
      </w:r>
      <w:hyperlink w:anchor="sec-app-uncert">
        <w:r>
          <w:rPr>
            <w:rStyle w:val="Hyperlink"/>
          </w:rPr>
          <w:t xml:space="preserve">Section 3.3.2</w:t>
        </w:r>
      </w:hyperlink>
      <w:r>
        <w:t xml:space="preserve">) and must not</w:t>
      </w:r>
      <w:r>
        <w:t xml:space="preserve"> </w:t>
      </w:r>
      <w:r>
        <w:t xml:space="preserve">be read as a test of a difference between jurisdictions. For the U.S. overall, the 2021 male:female</w:t>
      </w:r>
      <w:r>
        <w:t xml:space="preserve"> </w:t>
      </w:r>
      <w:r>
        <w:t xml:space="preserve">incidence ratio was 3.4 [3.1, 3.8]. All ratios are in</w:t>
      </w:r>
      <w:r>
        <w:t xml:space="preserve"> </w:t>
      </w:r>
      <w:hyperlink w:anchor="sup-ratios">
        <w:r>
          <w:rPr>
            <w:rStyle w:val="Hyperlink"/>
          </w:rPr>
          <w:t xml:space="preserve">Supporting Info 2</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90" w:name="fig-discrep"/>
          <w:p>
            <w:pPr>
              <w:pStyle w:val="Compact"/>
              <w:jc w:val="center"/>
            </w:pPr>
            <w:r>
              <w:drawing>
                <wp:inline>
                  <wp:extent cx="6400800" cy="8535655"/>
                  <wp:effectExtent b="0" l="0" r="0" t="0"/>
                  <wp:docPr descr="" title="" id="88" name="Picture"/>
                  <a:graphic>
                    <a:graphicData uri="http://schemas.openxmlformats.org/drawingml/2006/picture">
                      <pic:pic>
                        <pic:nvPicPr>
                          <pic:cNvPr descr="output/figures/Gender%20Discrepancy/fig_H.svg" id="8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7"/>
                              </a:ext>
                            </a:extLst>
                          </a:blip>
                          <a:stretch>
                            <a:fillRect/>
                          </a:stretch>
                        </pic:blipFill>
                        <pic:spPr bwMode="auto">
                          <a:xfrm>
                            <a:off x="0" y="0"/>
                            <a:ext cx="6400800" cy="8535655"/>
                          </a:xfrm>
                          <a:prstGeom prst="rect">
                            <a:avLst/>
                          </a:prstGeom>
                          <a:noFill/>
                          <a:ln w="9525">
                            <a:noFill/>
                            <a:headEnd/>
                            <a:tailEnd/>
                          </a:ln>
                        </pic:spPr>
                      </pic:pic>
                    </a:graphicData>
                  </a:graphic>
                </wp:inline>
              </w:drawing>
            </w:r>
          </w:p>
          <w:p>
            <w:pPr>
              <w:jc w:val="center"/>
            </w:pPr>
            <w:pPr>
              <w:jc w:val="left"/>
              <w:spacing w:before="200"/>
              <w:pStyle w:val="ImageCaption"/>
            </w:pPr>
            <w:r>
              <w:t xml:space="preserve">Figure 5: State-level male:female ratio of age-standardized rates, 2021, by measure (point estimates with</w:t>
            </w:r>
            <w:r>
              <w:t xml:space="preserve"> </w:t>
            </w:r>
            <w:r>
              <w:t xml:space="preserve">approximate 95% UIs that assume independence of the male and female estimates; see</w:t>
            </w:r>
            <w:r>
              <w:t xml:space="preserve"> </w:t>
            </w:r>
            <w:r>
              <w:t xml:space="preserve">Methods).</w:t>
            </w:r>
          </w:p>
          <w:bookmarkEnd w:id="90"/>
        </w:tc>
      </w:tr>
    </w:tbl>
    <w:p>
      <w:pPr>
        <w:pStyle w:val="BodyText"/>
      </w:pPr>
      <w:r>
        <w:rPr>
          <w:i/>
          <w:iCs/>
        </w:rPr>
        <w:t xml:space="preserve">Abbreviations: Alabama: AL; Alaska: AK; Arizona: AZ; Arkansas: AR; California: CA; Colorado: CO; Connecticut: CT; Delaware: DE; District of Columbia: DC; Florida: FL; Georgia: GA; Hawaii: HI; Idaho: ID; Illinois: IL; Indiana: IN; Iowa: IA; Kansas: KS; Kentucky: KY; Louisiana: LA; Maine: ME; Maryland: MD; Massachusetts: MA; Michigan: MI; Minnesota: MN; Mississippi: MS; Missouri: MO; Montana: MT; Nebraska: NE; Nevada: NV; New Hampshire: NH; New Jersey: NJ; New Mexico: NM; New York: NY; North Carolina: NC; North Dakota: ND; Ohio: OH; Oklahoma: OK; Oregon: OR; Pennsylvania: PA; Rhode Island: RI; South Carolina: SC; South Dakota: SD; Tennessee: TN; Texas: TX; Utah: UT; Vermont: VT; Virginia: VA; Washington: WA; West Virginia: WV; Wisconsin: WI; Wyoming: WY; DALYs: disability-adjusted life years; YLDs: years lived with disability; YLLs: years of life lost.</w:t>
      </w:r>
    </w:p>
    <w:p>
      <w:pPr>
        <w:pStyle w:val="BodyText"/>
      </w:pPr>
      <w:r>
        <w:t xml:space="preserve">Bump plots comparing the U.S., all jurisdictions and the comparator regions across measures in 1990,</w:t>
      </w:r>
      <w:r>
        <w:t xml:space="preserve"> </w:t>
      </w:r>
      <w:r>
        <w:t xml:space="preserve">2000, 2010 and 2021 are in</w:t>
      </w:r>
      <w:r>
        <w:t xml:space="preserve"> </w:t>
      </w:r>
      <w:hyperlink w:anchor="sup-bump">
        <w:r>
          <w:rPr>
            <w:rStyle w:val="Hyperlink"/>
          </w:rPr>
          <w:t xml:space="preserve">Supporting Info 8</w:t>
        </w:r>
      </w:hyperlink>
      <w:r>
        <w:t xml:space="preserve">.</w:t>
      </w:r>
    </w:p>
    <w:bookmarkEnd w:id="91"/>
    <w:bookmarkEnd w:id="92"/>
    <w:bookmarkStart w:id="99" w:name="discussion"/>
    <w:p>
      <w:pPr>
        <w:pStyle w:val="Heading1"/>
      </w:pPr>
      <w:r>
        <w:t xml:space="preserve">5. Discussion</w:t>
      </w:r>
    </w:p>
    <w:bookmarkStart w:id="93" w:name="principal-findings"/>
    <w:p>
      <w:pPr>
        <w:pStyle w:val="Heading2"/>
      </w:pPr>
      <w:r>
        <w:t xml:space="preserve">5.1 Principal findings</w:t>
      </w:r>
    </w:p>
    <w:p>
      <w:pPr>
        <w:pStyle w:val="FirstParagraph"/>
      </w:pPr>
      <w:r>
        <w:t xml:space="preserve">In this descriptive analysis of GBD 2021 estimates, the U.S. age-standardized incidence rate of BC</w:t>
      </w:r>
      <w:r>
        <w:t xml:space="preserve"> </w:t>
      </w:r>
      <w:r>
        <w:t xml:space="preserve">in 2021 was 14.7 [13.6, 15.4] per 100,000 and the age-standardized mortality rate 3.4 [3.0, 3.6] per 100,000</w:t>
      </w:r>
      <w:r>
        <w:t xml:space="preserve"> </w:t>
      </w:r>
      <w:r>
        <w:t xml:space="preserve">(both sexes). The incidence ASR peaked in 2011; between 2010 and 2021 it changed by</w:t>
      </w:r>
      <w:r>
        <w:t xml:space="preserve"> </w:t>
      </w:r>
      <w:r>
        <w:t xml:space="preserve">−10.5% [−17.4%, −3.1%], and between 1990 and 2021 by +3.6% [−3.7%, +11.4%]. The mortality ASR changed by</w:t>
      </w:r>
      <w:r>
        <w:t xml:space="preserve"> </w:t>
      </w:r>
      <w:r>
        <w:t xml:space="preserve">−3.0% [−12.8%, +7.9%] between 1990 and 2021 and by −6.3% [−16.6%, +5.2%] between 2010 and 2021 (percent change</w:t>
      </w:r>
      <w:r>
        <w:t xml:space="preserve"> </w:t>
      </w:r>
      <w:r>
        <w:t xml:space="preserve">[approximate 95% UI]). We did not fit a trend model, so these are differences between years and</w:t>
      </w:r>
      <w:r>
        <w:t xml:space="preserve"> </w:t>
      </w:r>
      <w:r>
        <w:t xml:space="preserve">not statements about the statistical significance of a trend. Across jurisdictions, estimated</w:t>
      </w:r>
      <w:r>
        <w:t xml:space="preserve"> </w:t>
      </w:r>
      <w:r>
        <w:t xml:space="preserve">changes since 1990 varied (</w:t>
      </w:r>
      <w:hyperlink w:anchor="tbl-states">
        <w:r>
          <w:rPr>
            <w:rStyle w:val="Hyperlink"/>
          </w:rPr>
          <w:t xml:space="preserve">Table 2</w:t>
        </w:r>
      </w:hyperlink>
      <w:r>
        <w:t xml:space="preserve">); for 44 of 51</w:t>
      </w:r>
      <w:r>
        <w:t xml:space="preserve"> </w:t>
      </w:r>
      <w:r>
        <w:t xml:space="preserve">jurisdictions the approximate UI of the incidence change included zero. All of these results are</w:t>
      </w:r>
      <w:r>
        <w:t xml:space="preserve"> </w:t>
      </w:r>
      <w:r>
        <w:t xml:space="preserve">modelled estimates, and no exposure, policy or health-system variable was analysed; explanations</w:t>
      </w:r>
      <w:r>
        <w:t xml:space="preserve"> </w:t>
      </w:r>
      <w:r>
        <w:t xml:space="preserve">offered below are hypotheses drawn from the literature, not findings of this study.</w:t>
      </w:r>
    </w:p>
    <w:bookmarkEnd w:id="93"/>
    <w:bookmarkStart w:id="94" w:name="comparison-with-other-regions"/>
    <w:p>
      <w:pPr>
        <w:pStyle w:val="Heading2"/>
      </w:pPr>
      <w:r>
        <w:t xml:space="preserve">5.2 Comparison with other regions</w:t>
      </w:r>
    </w:p>
    <w:p>
      <w:pPr>
        <w:pStyle w:val="FirstParagraph"/>
      </w:pPr>
      <w:r>
        <w:t xml:space="preserve">The numbers of years in which the U.S. point estimate of incidence exceeded that of each comparator</w:t>
      </w:r>
      <w:r>
        <w:t xml:space="preserve"> </w:t>
      </w:r>
      <w:r>
        <w:t xml:space="preserve">are given in</w:t>
      </w:r>
      <w:r>
        <w:t xml:space="preserve"> </w:t>
      </w:r>
      <w:hyperlink w:anchor="sec-compare-us">
        <w:r>
          <w:rPr>
            <w:rStyle w:val="Hyperlink"/>
          </w:rPr>
          <w:t xml:space="preserve">Section 4.1</w:t>
        </w:r>
      </w:hyperlink>
      <w:r>
        <w:t xml:space="preserve">. The high-income and high-SDI aggregates contain the U.S., so those</w:t>
      </w:r>
      <w:r>
        <w:t xml:space="preserve"> </w:t>
      </w:r>
      <w:r>
        <w:t xml:space="preserve">contrasts are attenuated by construction and are not independent country-to-country comparisons; the</w:t>
      </w:r>
      <w:r>
        <w:t xml:space="preserve"> </w:t>
      </w:r>
      <w:r>
        <w:t xml:space="preserve">European Union is the only comparator that excludes the U.S. A higher estimated incidence in the</w:t>
      </w:r>
      <w:r>
        <w:t xml:space="preserve"> </w:t>
      </w:r>
      <w:r>
        <w:t xml:space="preserve">U.S. may partly reflect more intensive diagnostic activity (cystoscopy, imaging, and evaluation of</w:t>
      </w:r>
      <w:r>
        <w:t xml:space="preserve"> </w:t>
      </w:r>
      <w:r>
        <w:t xml:space="preserve">hematuria) and case ascertainment</w:t>
      </w:r>
      <w:r>
        <w:t xml:space="preserve"> </w:t>
      </w:r>
      <w:r>
        <w:t xml:space="preserve">(27–29)</w:t>
      </w:r>
      <w:r>
        <w:t xml:space="preserve">, which raises recorded incidence without</w:t>
      </w:r>
      <w:r>
        <w:t xml:space="preserve"> </w:t>
      </w:r>
      <w:r>
        <w:t xml:space="preserve">necessarily changing mortality, and/or differences in underlying risk, such as smoking history. This</w:t>
      </w:r>
      <w:r>
        <w:t xml:space="preserve"> </w:t>
      </w:r>
      <w:r>
        <w:t xml:space="preserve">study cannot separate these possibilities, which are not mutually exclusive. Registry-based</w:t>
      </w:r>
      <w:r>
        <w:t xml:space="preserve"> </w:t>
      </w:r>
      <w:r>
        <w:t xml:space="preserve">age-adjusted rates (for example, the SEER rate of about 18 per 100,000 for 2018–2022</w:t>
      </w:r>
      <w:r>
        <w:t xml:space="preserve"> </w:t>
      </w:r>
      <w:r>
        <w:t xml:space="preserve">(2)</w:t>
      </w:r>
      <w:r>
        <w:t xml:space="preserve">) are not directly comparable with GBD ASRs, which use a different standard</w:t>
      </w:r>
      <w:r>
        <w:t xml:space="preserve"> </w:t>
      </w:r>
      <w:r>
        <w:t xml:space="preserve">population and are modelled.</w:t>
      </w:r>
    </w:p>
    <w:bookmarkEnd w:id="94"/>
    <w:bookmarkStart w:id="95" w:name="age"/>
    <w:p>
      <w:pPr>
        <w:pStyle w:val="Heading2"/>
      </w:pPr>
      <w:r>
        <w:t xml:space="preserve">5.3 Age</w:t>
      </w:r>
    </w:p>
    <w:p>
      <w:pPr>
        <w:pStyle w:val="FirstParagraph"/>
      </w:pPr>
      <w:r>
        <w:t xml:space="preserve">Age-standardized and age-specific rates are by design unaffected by population ageing; the rates</w:t>
      </w:r>
      <w:r>
        <w:t xml:space="preserve"> </w:t>
      </w:r>
      <w:r>
        <w:t xml:space="preserve">reported here therefore cannot be attributed to population ageing. Ageing influences the number of</w:t>
      </w:r>
      <w:r>
        <w:t xml:space="preserve"> </w:t>
      </w:r>
      <w:r>
        <w:t xml:space="preserve">cases: the U.S. population aged 65 years and older increased by 38.6% between 2010 and 2020</w:t>
      </w:r>
      <w:r>
        <w:t xml:space="preserve"> </w:t>
      </w:r>
      <w:r>
        <w:t xml:space="preserve">(30)</w:t>
      </w:r>
      <w:r>
        <w:t xml:space="preserve">. Absolute case and death counts were not part of the extracted dataset; we therefore cannot report changes in the number of cases. The age groups with the highest age-specific rates are</w:t>
      </w:r>
      <w:r>
        <w:t xml:space="preserve"> </w:t>
      </w:r>
      <w:r>
        <w:t xml:space="preserve">reported in</w:t>
      </w:r>
      <w:r>
        <w:t xml:space="preserve"> </w:t>
      </w:r>
      <w:hyperlink w:anchor="sec-patterns">
        <w:r>
          <w:rPr>
            <w:rStyle w:val="Hyperlink"/>
          </w:rPr>
          <w:t xml:space="preserve">Section 4.2</w:t>
        </w:r>
      </w:hyperlink>
      <w:r>
        <w:t xml:space="preserve">; a rise in BC burden with age is in line with prior literature</w:t>
      </w:r>
      <w:r>
        <w:t xml:space="preserve"> </w:t>
      </w:r>
      <w:r>
        <w:t xml:space="preserve">(4)</w:t>
      </w:r>
      <w:r>
        <w:t xml:space="preserve">. An</w:t>
      </w:r>
      <w:r>
        <w:t xml:space="preserve"> </w:t>
      </w:r>
      <w:r>
        <w:t xml:space="preserve">earlier analysis reported that the oldest adults, especially men aged 85 years and older, had not</w:t>
      </w:r>
      <w:r>
        <w:t xml:space="preserve"> </w:t>
      </w:r>
      <w:r>
        <w:t xml:space="preserve">shared in the improvements in cancer mortality seen in younger seniors</w:t>
      </w:r>
      <w:r>
        <w:t xml:space="preserve"> </w:t>
      </w:r>
      <w:r>
        <w:t xml:space="preserve">(31)</w:t>
      </w:r>
      <w:r>
        <w:t xml:space="preserve">. We did not examine</w:t>
      </w:r>
      <w:r>
        <w:t xml:space="preserve"> </w:t>
      </w:r>
      <w:r>
        <w:t xml:space="preserve">whether differences between states in age-specific rates reflect true differences, and we do not</w:t>
      </w:r>
      <w:r>
        <w:t xml:space="preserve"> </w:t>
      </w:r>
      <w:r>
        <w:t xml:space="preserve">interpret them.</w:t>
      </w:r>
    </w:p>
    <w:bookmarkEnd w:id="95"/>
    <w:bookmarkStart w:id="96" w:name="sex-differences"/>
    <w:p>
      <w:pPr>
        <w:pStyle w:val="Heading2"/>
      </w:pPr>
      <w:r>
        <w:t xml:space="preserve">5.4 Sex differences</w:t>
      </w:r>
    </w:p>
    <w:p>
      <w:pPr>
        <w:pStyle w:val="FirstParagraph"/>
      </w:pPr>
      <w:r>
        <w:t xml:space="preserve">Male rates exceeded female rates in 84 of 96 age-group–by–measure combinations</w:t>
      </w:r>
      <w:r>
        <w:t xml:space="preserve"> </w:t>
      </w:r>
      <w:r>
        <w:t xml:space="preserve">in 2021 (</w:t>
      </w:r>
      <w:hyperlink w:anchor="sec-patterns">
        <w:r>
          <w:rPr>
            <w:rStyle w:val="Hyperlink"/>
          </w:rPr>
          <w:t xml:space="preserve">Section 4.2</w:t>
        </w:r>
      </w:hyperlink>
      <w:r>
        <w:t xml:space="preserve">). The 2021 U.S. male:female incidence ratio was 3.4 [3.1, 3.8], and prior</w:t>
      </w:r>
      <w:r>
        <w:t xml:space="preserve"> </w:t>
      </w:r>
      <w:r>
        <w:t xml:space="preserve">studies consistently report three- to four-fold higher incidence in men</w:t>
      </w:r>
      <w:r>
        <w:t xml:space="preserve"> </w:t>
      </w:r>
      <w:r>
        <w:t xml:space="preserve">(3)</w:t>
      </w:r>
      <w:r>
        <w:t xml:space="preserve">. For mortality, the</w:t>
      </w:r>
      <w:r>
        <w:t xml:space="preserve"> </w:t>
      </w:r>
      <w:r>
        <w:t xml:space="preserve">1990–2021 percent change was −6.7% [−15.3%, +2.8%] in men and</w:t>
      </w:r>
      <w:r>
        <w:t xml:space="preserve"> </w:t>
      </w:r>
      <w:r>
        <w:t xml:space="preserve">−10.5% [−23.0%, +4.0%] in women. State-level ratios varied, with extremes of</w:t>
      </w:r>
      <w:r>
        <w:t xml:space="preserve"> </w:t>
      </w:r>
      <w:r>
        <w:t xml:space="preserve">District of Columbia, 2.5 [1.8, 3.4] and North Dakota, 4.1 [3.1, 5.4] for incidence, but the approximate UIs are wide, assume</w:t>
      </w:r>
      <w:r>
        <w:t xml:space="preserve"> </w:t>
      </w:r>
      <w:r>
        <w:t xml:space="preserve">independence of the male and female estimates, and the ratios are partly related across measures by</w:t>
      </w:r>
      <w:r>
        <w:t xml:space="preserve"> </w:t>
      </w:r>
      <w:r>
        <w:t xml:space="preserve">construction (</w:t>
      </w:r>
      <w:hyperlink w:anchor="sec-study-design">
        <w:r>
          <w:rPr>
            <w:rStyle w:val="Hyperlink"/>
          </w:rPr>
          <w:t xml:space="preserve">Section 3.1</w:t>
        </w:r>
      </w:hyperlink>
      <w:r>
        <w:t xml:space="preserve">). GBD estimates contain no information on stage at diagnosis,</w:t>
      </w:r>
      <w:r>
        <w:t xml:space="preserve"> </w:t>
      </w:r>
      <w:r>
        <w:t xml:space="preserve">treatment or survival. Studies outside GBD report that women more often present with advanced</w:t>
      </w:r>
      <w:r>
        <w:t xml:space="preserve"> </w:t>
      </w:r>
      <w:r>
        <w:t xml:space="preserve">disease and have poorer survival</w:t>
      </w:r>
      <w:r>
        <w:t xml:space="preserve"> </w:t>
      </w:r>
      <w:r>
        <w:t xml:space="preserve">(16,32,33)</w:t>
      </w:r>
      <w:r>
        <w:t xml:space="preserve">, and that hematuria in women is more often</w:t>
      </w:r>
      <w:r>
        <w:t xml:space="preserve"> </w:t>
      </w:r>
      <w:r>
        <w:t xml:space="preserve">attributed to urinary tract infection or gynecologic conditions</w:t>
      </w:r>
      <w:r>
        <w:t xml:space="preserve"> </w:t>
      </w:r>
      <w:r>
        <w:t xml:space="preserve">(32,34)</w:t>
      </w:r>
      <w:r>
        <w:t xml:space="preserve">. Differences in</w:t>
      </w:r>
      <w:r>
        <w:t xml:space="preserve"> </w:t>
      </w:r>
      <w:r>
        <w:t xml:space="preserve">immune surveillance, hormonal milieu and genetic or epigenetic alterations have also been proposed</w:t>
      </w:r>
      <w:r>
        <w:t xml:space="preserve"> </w:t>
      </w:r>
      <w:r>
        <w:t xml:space="preserve">(35)</w:t>
      </w:r>
      <w:r>
        <w:t xml:space="preserve">. These are hypotheses that this analysis can neither support nor refute.</w:t>
      </w:r>
    </w:p>
    <w:bookmarkEnd w:id="96"/>
    <w:bookmarkStart w:id="97" w:name="geographic-variation"/>
    <w:p>
      <w:pPr>
        <w:pStyle w:val="Heading2"/>
      </w:pPr>
      <w:r>
        <w:t xml:space="preserve">5.5 Geographic variation</w:t>
      </w:r>
    </w:p>
    <w:p>
      <w:pPr>
        <w:pStyle w:val="FirstParagraph"/>
      </w:pPr>
      <w:r>
        <w:t xml:space="preserve">By point estimate, the highest 2021 incidence ASRs were in Maine (19.9), Nevada (18.9), Delaware (18.6), Kentucky (18.0), and West Virginia (17.5) and the</w:t>
      </w:r>
      <w:r>
        <w:t xml:space="preserve"> </w:t>
      </w:r>
      <w:r>
        <w:t xml:space="preserve">lowest in Hawaii (11.0), Utah (12.0), North Dakota (12.3), California (12.8), and South Dakota (12.9); the highest mortality ASRs were in</w:t>
      </w:r>
      <w:r>
        <w:t xml:space="preserve"> </w:t>
      </w:r>
      <w:r>
        <w:t xml:space="preserve">Maine (4.5), Nevada (4.3), Kentucky (4.2), Delaware (4.2), and West Virginia (4.1) and the lowest in Hawaii (2.3), North Dakota (2.8), California (2.9), New York (2.9), and Utah (3.0)</w:t>
      </w:r>
      <w:r>
        <w:t xml:space="preserve"> </w:t>
      </w:r>
      <w:r>
        <w:t xml:space="preserve">(</w:t>
      </w:r>
      <w:hyperlink w:anchor="tbl-states">
        <w:r>
          <w:rPr>
            <w:rStyle w:val="Hyperlink"/>
          </w:rPr>
          <w:t xml:space="preserve">Table 2</w:t>
        </w:r>
      </w:hyperlink>
      <w:r>
        <w:t xml:space="preserve">). Because the published UIs overlap for 97% (incidence) and 95%</w:t>
      </w:r>
      <w:r>
        <w:t xml:space="preserve"> </w:t>
      </w:r>
      <w:r>
        <w:t xml:space="preserve">(mortality) of all pairs of jurisdictions, these rankings are uncertain, and our data do not</w:t>
      </w:r>
      <w:r>
        <w:t xml:space="preserve"> </w:t>
      </w:r>
      <w:r>
        <w:t xml:space="preserve">establish that any particular jurisdiction differs from another. Earlier registry-based reports</w:t>
      </w:r>
      <w:r>
        <w:t xml:space="preserve"> </w:t>
      </w:r>
      <w:r>
        <w:t xml:space="preserve">describe high incidence in northeastern states</w:t>
      </w:r>
      <w:r>
        <w:t xml:space="preserve"> </w:t>
      </w:r>
      <w:r>
        <w:t xml:space="preserve">(11)</w:t>
      </w:r>
      <w:r>
        <w:t xml:space="preserve"> </w:t>
      </w:r>
      <w:r>
        <w:t xml:space="preserve">and elevated mortality in parts of the South</w:t>
      </w:r>
      <w:r>
        <w:t xml:space="preserve"> </w:t>
      </w:r>
      <w:r>
        <w:t xml:space="preserve">(14,36)</w:t>
      </w:r>
      <w:r>
        <w:t xml:space="preserve">. Explanations that have been proposed, none of which we tested, include arsenic in</w:t>
      </w:r>
      <w:r>
        <w:t xml:space="preserve"> </w:t>
      </w:r>
      <w:r>
        <w:t xml:space="preserve">private-well drinking water in New England</w:t>
      </w:r>
      <w:r>
        <w:t xml:space="preserve"> </w:t>
      </w:r>
      <w:r>
        <w:t xml:space="preserve">(37,38)</w:t>
      </w:r>
      <w:r>
        <w:t xml:space="preserve">, smoking-attributable burden</w:t>
      </w:r>
      <w:r>
        <w:t xml:space="preserve"> </w:t>
      </w:r>
      <w:r>
        <w:t xml:space="preserve">(39)</w:t>
      </w:r>
      <w:r>
        <w:t xml:space="preserve">,</w:t>
      </w:r>
      <w:r>
        <w:t xml:space="preserve"> </w:t>
      </w:r>
      <w:r>
        <w:t xml:space="preserve">rurality</w:t>
      </w:r>
      <w:r>
        <w:t xml:space="preserve"> </w:t>
      </w:r>
      <w:r>
        <w:t xml:space="preserve">(40,41)</w:t>
      </w:r>
      <w:r>
        <w:t xml:space="preserve">, and reduced access to timely diagnosis and treatment</w:t>
      </w:r>
      <w:r>
        <w:t xml:space="preserve"> </w:t>
      </w:r>
      <w:r>
        <w:t xml:space="preserve">(41,42)</w:t>
      </w:r>
      <w:r>
        <w:t xml:space="preserve">;</w:t>
      </w:r>
      <w:r>
        <w:t xml:space="preserve"> </w:t>
      </w:r>
      <w:r>
        <w:t xml:space="preserve">studies of other cancers, such as colorectal and cervical cancer, have linked longer travel distance</w:t>
      </w:r>
      <w:r>
        <w:t xml:space="preserve"> </w:t>
      </w:r>
      <w:r>
        <w:t xml:space="preserve">to worse care</w:t>
      </w:r>
      <w:r>
        <w:t xml:space="preserve"> </w:t>
      </w:r>
      <w:r>
        <w:t xml:space="preserve">(43)</w:t>
      </w:r>
      <w:r>
        <w:t xml:space="preserve">. GBD state estimates are not stratified by race or ethnicity, so we cannot</w:t>
      </w:r>
      <w:r>
        <w:t xml:space="preserve"> </w:t>
      </w:r>
      <w:r>
        <w:t xml:space="preserve">assess whether differences in population composition (for example, lower BC risk reported in Asian</w:t>
      </w:r>
      <w:r>
        <w:t xml:space="preserve"> </w:t>
      </w:r>
      <w:r>
        <w:t xml:space="preserve">and Pacific Islander populations</w:t>
      </w:r>
      <w:r>
        <w:t xml:space="preserve"> </w:t>
      </w:r>
      <w:r>
        <w:t xml:space="preserve">(44)</w:t>
      </w:r>
      <w:r>
        <w:t xml:space="preserve">) contribute to differences between states. DC is a federal</w:t>
      </w:r>
      <w:r>
        <w:t xml:space="preserve"> </w:t>
      </w:r>
      <w:r>
        <w:t xml:space="preserve">district with a small, predominantly urban population, and is not directly comparable with the</w:t>
      </w:r>
      <w:r>
        <w:t xml:space="preserve"> </w:t>
      </w:r>
      <w:r>
        <w:t xml:space="preserve">states.</w:t>
      </w:r>
    </w:p>
    <w:bookmarkEnd w:id="97"/>
    <w:bookmarkStart w:id="98" w:name="sec-strengths-limits"/>
    <w:p>
      <w:pPr>
        <w:pStyle w:val="Heading2"/>
      </w:pPr>
      <w:r>
        <w:t xml:space="preserve">5.6 Strengths and limitations</w:t>
      </w:r>
    </w:p>
    <w:p>
      <w:pPr>
        <w:pStyle w:val="FirstParagraph"/>
      </w:pPr>
      <w:r>
        <w:t xml:space="preserve">Strengths include the use of a single, internally consistent modelling framework across all states,</w:t>
      </w:r>
      <w:r>
        <w:t xml:space="preserve"> </w:t>
      </w:r>
      <w:r>
        <w:t xml:space="preserve">six burden measures, and fully scripted, openly available, reproducible analyses. Limitations are as</w:t>
      </w:r>
      <w:r>
        <w:t xml:space="preserve"> </w:t>
      </w:r>
      <w:r>
        <w:t xml:space="preserve">follows. First, GBD estimates are modelled; for many states the underlying data are sparse, and</w:t>
      </w:r>
      <w:r>
        <w:t xml:space="preserve"> </w:t>
      </w:r>
      <w:r>
        <w:t xml:space="preserve">incidence, prevalence and YLDs depend on mortality-based modelling</w:t>
      </w:r>
      <w:r>
        <w:t xml:space="preserve"> </w:t>
      </w:r>
      <w:r>
        <w:t xml:space="preserve">(20)</w:t>
      </w:r>
      <w:r>
        <w:t xml:space="preserve">, so the six</w:t>
      </w:r>
      <w:r>
        <w:t xml:space="preserve"> </w:t>
      </w:r>
      <w:r>
        <w:t xml:space="preserve">measures are not independent. Second, derived UIs (percent change and rate ratios) are</w:t>
      </w:r>
      <w:r>
        <w:t xml:space="preserve"> </w:t>
      </w:r>
      <w:r>
        <w:t xml:space="preserve">approximations from published bounds that assume independence and log-symmetry, and the direction of</w:t>
      </w:r>
      <w:r>
        <w:t xml:space="preserve"> </w:t>
      </w:r>
      <w:r>
        <w:t xml:space="preserve">any resulting bias is unknown (</w:t>
      </w:r>
      <w:hyperlink w:anchor="sec-app-uncert">
        <w:r>
          <w:rPr>
            <w:rStyle w:val="Hyperlink"/>
          </w:rPr>
          <w:t xml:space="preserve">Section 3.3.2</w:t>
        </w:r>
      </w:hyperlink>
      <w:r>
        <w:t xml:space="preserve">); draw-based UIs would be preferable. Third, the U.S.</w:t>
      </w:r>
      <w:r>
        <w:t xml:space="preserve"> </w:t>
      </w:r>
      <w:r>
        <w:t xml:space="preserve">is part of two of the three comparator aggregates, and we did not include comparators that exclude</w:t>
      </w:r>
      <w:r>
        <w:t xml:space="preserve"> </w:t>
      </w:r>
      <w:r>
        <w:t xml:space="preserve">the U.S. (for example, individual peer countries or Western Europe). Fourth, no trend model was</w:t>
      </w:r>
      <w:r>
        <w:t xml:space="preserve"> </w:t>
      </w:r>
      <w:r>
        <w:t xml:space="preserve">fitted, and no exposure, insurance, socioeconomic or policy variable was analysed, so the study</w:t>
      </w:r>
      <w:r>
        <w:t xml:space="preserve"> </w:t>
      </w:r>
      <w:r>
        <w:t xml:space="preserve">cannot address causes or policy effects. Fifth, the analysis is limited to rates; population ageing</w:t>
      </w:r>
      <w:r>
        <w:t xml:space="preserve"> </w:t>
      </w:r>
      <w:r>
        <w:t xml:space="preserve">affects case counts, which are reported only where available. Sixth, estimates are not stratified by</w:t>
      </w:r>
      <w:r>
        <w:t xml:space="preserve"> </w:t>
      </w:r>
      <w:r>
        <w:t xml:space="preserve">race or ethnicity. Seventh, GBD estimates are revised between rounds, and GBD 2023 estimates,</w:t>
      </w:r>
      <w:r>
        <w:t xml:space="preserve"> </w:t>
      </w:r>
      <w:r>
        <w:t xml:space="preserve">including for cancer</w:t>
      </w:r>
      <w:r>
        <w:t xml:space="preserve"> </w:t>
      </w:r>
      <w:r>
        <w:t xml:space="preserve">(19)</w:t>
      </w:r>
      <w:r>
        <w:t xml:space="preserve">, are now available; values here may differ from GBD 2023, and</w:t>
      </w:r>
      <w:r>
        <w:t xml:space="preserve"> </w:t>
      </w:r>
      <w:r>
        <w:t xml:space="preserve">repeating the scripted pipeline on the newer release is a natural next step. Finally, discrepancies</w:t>
      </w:r>
      <w:r>
        <w:t xml:space="preserve"> </w:t>
      </w:r>
      <w:r>
        <w:t xml:space="preserve">with surveillance systems that report crude or differently standardized rates likely reflect</w:t>
      </w:r>
      <w:r>
        <w:t xml:space="preserve"> </w:t>
      </w:r>
      <w:r>
        <w:t xml:space="preserve">methodological differences, including the choice of standard population.</w:t>
      </w:r>
    </w:p>
    <w:bookmarkEnd w:id="98"/>
    <w:bookmarkEnd w:id="99"/>
    <w:bookmarkStart w:id="100" w:name="conclusions"/>
    <w:p>
      <w:pPr>
        <w:pStyle w:val="Heading1"/>
      </w:pPr>
      <w:r>
        <w:t xml:space="preserve">6. Conclusions</w:t>
      </w:r>
    </w:p>
    <w:p>
      <w:pPr>
        <w:pStyle w:val="FirstParagraph"/>
      </w:pPr>
      <w:r>
        <w:t xml:space="preserve">GBD 2021 modelled estimates describe a male excess in BC burden in the U.S. in 2021, changes in</w:t>
      </w:r>
      <w:r>
        <w:t xml:space="preserve"> </w:t>
      </w:r>
      <w:r>
        <w:t xml:space="preserve">age-standardized rates between 1990 and 2021 that are summarised in</w:t>
      </w:r>
      <w:r>
        <w:t xml:space="preserve"> </w:t>
      </w:r>
      <w:hyperlink w:anchor="tbl-comparison">
        <w:r>
          <w:rPr>
            <w:rStyle w:val="Hyperlink"/>
          </w:rPr>
          <w:t xml:space="preserve">Table 1</w:t>
        </w:r>
      </w:hyperlink>
      <w:r>
        <w:t xml:space="preserve">, and variation</w:t>
      </w:r>
      <w:r>
        <w:t xml:space="preserve"> </w:t>
      </w:r>
      <w:r>
        <w:t xml:space="preserve">across states for which uncertainty is substantial. These findings are descriptive. Whether</w:t>
      </w:r>
      <w:r>
        <w:t xml:space="preserve"> </w:t>
      </w:r>
      <w:r>
        <w:t xml:space="preserve">differences between states, sexes or regions are related to exposures, health-care access or policy</w:t>
      </w:r>
      <w:r>
        <w:t xml:space="preserve"> </w:t>
      </w:r>
      <w:r>
        <w:t xml:space="preserve">cannot be determined from these data, and such questions require analyses that measure those factors</w:t>
      </w:r>
      <w:r>
        <w:t xml:space="preserve"> </w:t>
      </w:r>
      <w:r>
        <w:t xml:space="preserve">directly. Since the submission of this manuscript, GBD 2023 data has been released. Should the data</w:t>
      </w:r>
      <w:r>
        <w:t xml:space="preserve"> </w:t>
      </w:r>
      <w:r>
        <w:t xml:space="preserve">structure and dictionary remain the same as GBD 2021, all visualizations of this study are</w:t>
      </w:r>
      <w:r>
        <w:t xml:space="preserve"> </w:t>
      </w:r>
      <w:r>
        <w:t xml:space="preserve">reproducible for GBD 2023 as well. We encourage future researchers to further the current study by</w:t>
      </w:r>
      <w:r>
        <w:t xml:space="preserve"> </w:t>
      </w:r>
      <w:r>
        <w:t xml:space="preserve">forking our</w:t>
      </w:r>
      <w:r>
        <w:t xml:space="preserve"> </w:t>
      </w:r>
      <w:hyperlink r:id="rId61">
        <w:r>
          <w:rPr>
            <w:rStyle w:val="Hyperlink"/>
          </w:rPr>
          <w:t xml:space="preserve">GitHub repository</w:t>
        </w:r>
      </w:hyperlink>
      <w:r>
        <w:t xml:space="preserve"> </w:t>
      </w:r>
      <w:r>
        <w:t xml:space="preserve">and applying its</w:t>
      </w:r>
      <w:r>
        <w:t xml:space="preserve"> </w:t>
      </w:r>
      <w:r>
        <w:t xml:space="preserve">source code to GBD 2023.</w:t>
      </w:r>
    </w:p>
    <w:bookmarkEnd w:id="100"/>
    <w:bookmarkStart w:id="111" w:name="supporting-info"/>
    <w:p>
      <w:pPr>
        <w:pStyle w:val="Heading1"/>
      </w:pPr>
      <w:r>
        <w:t xml:space="preserve">Supporting Info</w:t>
      </w:r>
    </w:p>
    <w:p>
      <w:pPr>
        <w:pStyle w:val="FirstParagraph"/>
      </w:pPr>
      <w:r>
        <w:t xml:space="preserve">Supporting Info are provided as appendices to the manuscript and are also publicly accessible at the</w:t>
      </w:r>
      <w:r>
        <w:t xml:space="preserve"> </w:t>
      </w:r>
      <w:r>
        <w:t xml:space="preserve">links below (repository:</w:t>
      </w:r>
      <w:r>
        <w:t xml:space="preserve"> </w:t>
      </w:r>
      <w:hyperlink r:id="rId61">
        <w:r>
          <w:rPr>
            <w:rStyle w:val="Hyperlink"/>
          </w:rPr>
          <w:t xml:space="preserve">GitHub</w:t>
        </w:r>
      </w:hyperlink>
      <w:r>
        <w:t xml:space="preserve">; archived</w:t>
      </w:r>
      <w:r>
        <w:t xml:space="preserve"> </w:t>
      </w:r>
      <w:r>
        <w:t xml:space="preserve">version: 10.5281/zenodo.23814418).</w:t>
      </w:r>
    </w:p>
    <w:p>
      <w:pPr>
        <w:numPr>
          <w:ilvl w:val="0"/>
          <w:numId w:val="1009"/>
        </w:numPr>
      </w:pPr>
      <w:r>
        <w:rPr>
          <w:b/>
          <w:bCs/>
        </w:rPr>
        <w:t xml:space="preserve">Percent change (numeric table)</w:t>
      </w:r>
      <w:r>
        <w:br/>
      </w:r>
      <w:r>
        <w:t xml:space="preserve">Percent change in age-standardized rates, with approximate 95% UIs, for 1990–2021 and 2010–2021</w:t>
      </w:r>
      <w:r>
        <w:t xml:space="preserve"> </w:t>
      </w:r>
      <w:r>
        <w:t xml:space="preserve">(all measures) and 1980–2021 (deaths and YLLs), for the U.S., all jurisdictions and comparator</w:t>
      </w:r>
      <w:r>
        <w:t xml:space="preserve"> </w:t>
      </w:r>
      <w:r>
        <w:t xml:space="preserve">regions, by sex, together with the start- and end-year rates.</w:t>
      </w:r>
      <w:r>
        <w:t xml:space="preserve"> </w:t>
      </w:r>
      <w:hyperlink r:id="rId101">
        <w:r>
          <w:rPr>
            <w:rStyle w:val="Hyperlink"/>
          </w:rPr>
          <w:t xml:space="preserve">CSV</w:t>
        </w:r>
        <w:r>
          <w:rPr>
            <w:rStyle w:val="Hyperlink"/>
          </w:rPr>
          <w:t xml:space="preserve"> </w:t>
        </w:r>
        <w:r>
          <w:rPr>
            <w:rStyle w:val="Hyperlink"/>
          </w:rPr>
          <w:t xml:space="preserve">file</w:t>
        </w:r>
      </w:hyperlink>
      <w:r>
        <w:t xml:space="preserve">.</w:t>
      </w:r>
      <w:hyperlink r:id="rId102"/>
    </w:p>
    <w:p>
      <w:pPr>
        <w:numPr>
          <w:ilvl w:val="0"/>
          <w:numId w:val="1009"/>
        </w:numPr>
      </w:pPr>
      <w:r>
        <w:rPr>
          <w:b/>
          <w:bCs/>
        </w:rPr>
        <w:t xml:space="preserve">Male:female rate ratios (2021, numeric table)</w:t>
      </w:r>
      <w:r>
        <w:br/>
      </w:r>
      <w:r>
        <w:t xml:space="preserve">Male and female age-standardized rates and their ratio, with approximate 95% UIs (independence</w:t>
      </w:r>
      <w:r>
        <w:t xml:space="preserve"> </w:t>
      </w:r>
      <w:r>
        <w:t xml:space="preserve">assumed), for every jurisdiction and measure.</w:t>
      </w:r>
      <w:r>
        <w:t xml:space="preserve"> </w:t>
      </w:r>
      <w:hyperlink r:id="rId103">
        <w:r>
          <w:rPr>
            <w:rStyle w:val="Hyperlink"/>
          </w:rPr>
          <w:t xml:space="preserve">CSV</w:t>
        </w:r>
        <w:r>
          <w:rPr>
            <w:rStyle w:val="Hyperlink"/>
          </w:rPr>
          <w:t xml:space="preserve"> </w:t>
        </w:r>
        <w:r>
          <w:rPr>
            <w:rStyle w:val="Hyperlink"/>
          </w:rPr>
          <w:t xml:space="preserve">file</w:t>
        </w:r>
      </w:hyperlink>
      <w:r>
        <w:t xml:space="preserve">.</w:t>
      </w:r>
      <w:hyperlink r:id="rId102"/>
    </w:p>
    <w:p>
      <w:pPr>
        <w:numPr>
          <w:ilvl w:val="0"/>
          <w:numId w:val="1009"/>
        </w:numPr>
      </w:pPr>
      <w:r>
        <w:rPr>
          <w:b/>
          <w:bCs/>
        </w:rPr>
        <w:t xml:space="preserve">Percent change 1990–2021 (graphical table)</w:t>
      </w:r>
      <w:r>
        <w:br/>
      </w:r>
      <w:r>
        <w:t xml:space="preserve">Percent change in age-standardized rates between 1990 and 2021, by sex, for the U.S.,</w:t>
      </w:r>
      <w:r>
        <w:t xml:space="preserve"> </w:t>
      </w:r>
      <w:r>
        <w:t xml:space="preserve">jurisdictions and comparator regions. Bars show the point estimate and lines the approximate 95%</w:t>
      </w:r>
      <w:r>
        <w:t xml:space="preserve"> </w:t>
      </w:r>
      <w:r>
        <w:t xml:space="preserve">UI. Green, yellow and red indicate an interval entirely below zero, including zero, and entirely</w:t>
      </w:r>
      <w:r>
        <w:t xml:space="preserve"> </w:t>
      </w:r>
      <w:r>
        <w:t xml:space="preserve">above zero, respectively (a description of the interval, not a significance test). Available</w:t>
      </w:r>
      <w:r>
        <w:t xml:space="preserve"> </w:t>
      </w:r>
      <w:r>
        <w:t xml:space="preserve">from the project’s</w:t>
      </w:r>
      <w:r>
        <w:t xml:space="preserve"> </w:t>
      </w:r>
      <w:hyperlink r:id="rId104">
        <w:r>
          <w:rPr>
            <w:rStyle w:val="Hyperlink"/>
          </w:rPr>
          <w:t xml:space="preserve">GitHub</w:t>
        </w:r>
        <w:r>
          <w:rPr>
            <w:rStyle w:val="Hyperlink"/>
          </w:rPr>
          <w:t xml:space="preserve"> </w:t>
        </w:r>
        <w:r>
          <w:rPr>
            <w:rStyle w:val="Hyperlink"/>
          </w:rPr>
          <w:t xml:space="preserve">repository</w:t>
        </w:r>
      </w:hyperlink>
      <w:r>
        <w:t xml:space="preserve">.</w:t>
      </w:r>
      <w:hyperlink r:id="rId102"/>
    </w:p>
    <w:p>
      <w:pPr>
        <w:numPr>
          <w:ilvl w:val="0"/>
          <w:numId w:val="1009"/>
        </w:numPr>
      </w:pPr>
      <w:r>
        <w:rPr>
          <w:b/>
          <w:bCs/>
        </w:rPr>
        <w:t xml:space="preserve">State-level population pyramids (2021)</w:t>
      </w:r>
      <w:r>
        <w:br/>
      </w:r>
      <w:r>
        <w:t xml:space="preserve">Age- and sex-stratified bladder cancer burden for each jurisdiction in 2021, available from the</w:t>
      </w:r>
      <w:r>
        <w:t xml:space="preserve"> </w:t>
      </w:r>
      <w:r>
        <w:t xml:space="preserve">project’s</w:t>
      </w:r>
      <w:r>
        <w:t xml:space="preserve"> </w:t>
      </w:r>
      <w:hyperlink r:id="rId105">
        <w:r>
          <w:rPr>
            <w:rStyle w:val="Hyperlink"/>
          </w:rPr>
          <w:t xml:space="preserve">GitHub</w:t>
        </w:r>
        <w:r>
          <w:rPr>
            <w:rStyle w:val="Hyperlink"/>
          </w:rPr>
          <w:t xml:space="preserve"> </w:t>
        </w:r>
        <w:r>
          <w:rPr>
            <w:rStyle w:val="Hyperlink"/>
          </w:rPr>
          <w:t xml:space="preserve">repository</w:t>
        </w:r>
      </w:hyperlink>
      <w:r>
        <w:t xml:space="preserve">.</w:t>
      </w:r>
      <w:hyperlink r:id="rId102"/>
    </w:p>
    <w:p>
      <w:pPr>
        <w:numPr>
          <w:ilvl w:val="0"/>
          <w:numId w:val="1009"/>
        </w:numPr>
      </w:pPr>
      <w:r>
        <w:rPr>
          <w:b/>
          <w:bCs/>
        </w:rPr>
        <w:t xml:space="preserve">Animated population pyramids</w:t>
      </w:r>
      <w:r>
        <w:br/>
      </w:r>
      <w:r>
        <w:t xml:space="preserve">Temporal change in age- and sex-stratified burden for each jurisdiction, available from the</w:t>
      </w:r>
      <w:r>
        <w:t xml:space="preserve"> </w:t>
      </w:r>
      <w:r>
        <w:t xml:space="preserve">project’s</w:t>
      </w:r>
      <w:r>
        <w:t xml:space="preserve"> </w:t>
      </w:r>
      <w:hyperlink r:id="rId106">
        <w:r>
          <w:rPr>
            <w:rStyle w:val="Hyperlink"/>
          </w:rPr>
          <w:t xml:space="preserve">GitHub</w:t>
        </w:r>
        <w:r>
          <w:rPr>
            <w:rStyle w:val="Hyperlink"/>
          </w:rPr>
          <w:t xml:space="preserve"> </w:t>
        </w:r>
        <w:r>
          <w:rPr>
            <w:rStyle w:val="Hyperlink"/>
          </w:rPr>
          <w:t xml:space="preserve">repository</w:t>
        </w:r>
      </w:hyperlink>
      <w:r>
        <w:t xml:space="preserve">.</w:t>
      </w:r>
      <w:hyperlink r:id="rId102"/>
    </w:p>
    <w:p>
      <w:pPr>
        <w:numPr>
          <w:ilvl w:val="0"/>
          <w:numId w:val="1009"/>
        </w:numPr>
      </w:pPr>
      <w:r>
        <w:rPr>
          <w:b/>
          <w:bCs/>
        </w:rPr>
        <w:t xml:space="preserve">Age-by-period plots</w:t>
      </w:r>
      <w:r>
        <w:br/>
      </w:r>
      <w:r>
        <w:t xml:space="preserve">Line plots of age- and sex-specific rates in 1990, 2000, 2010 and 2021 for each jurisdiction</w:t>
      </w:r>
      <w:r>
        <w:t xml:space="preserve"> </w:t>
      </w:r>
      <w:r>
        <w:t xml:space="preserve">(descriptive; no age–period–cohort model). The repository folder retains its original name, “APC</w:t>
      </w:r>
      <w:r>
        <w:t xml:space="preserve"> </w:t>
      </w:r>
      <w:r>
        <w:t xml:space="preserve">plot 1”, available from the project’s</w:t>
      </w:r>
      <w:r>
        <w:t xml:space="preserve"> </w:t>
      </w:r>
      <w:hyperlink r:id="rId107">
        <w:r>
          <w:rPr>
            <w:rStyle w:val="Hyperlink"/>
          </w:rPr>
          <w:t xml:space="preserve">GitHub</w:t>
        </w:r>
        <w:r>
          <w:rPr>
            <w:rStyle w:val="Hyperlink"/>
          </w:rPr>
          <w:t xml:space="preserve"> </w:t>
        </w:r>
        <w:r>
          <w:rPr>
            <w:rStyle w:val="Hyperlink"/>
          </w:rPr>
          <w:t xml:space="preserve">repository</w:t>
        </w:r>
      </w:hyperlink>
      <w:r>
        <w:t xml:space="preserve">.</w:t>
      </w:r>
      <w:hyperlink r:id="rId102"/>
    </w:p>
    <w:p>
      <w:pPr>
        <w:numPr>
          <w:ilvl w:val="0"/>
          <w:numId w:val="1009"/>
        </w:numPr>
      </w:pPr>
      <w:r>
        <w:rPr>
          <w:b/>
          <w:bCs/>
        </w:rPr>
        <w:t xml:space="preserve">Geographically faceted state-level plots (all six measures)</w:t>
      </w:r>
      <w:r>
        <w:br/>
      </w:r>
      <w:r>
        <w:t xml:space="preserve">Available from the project’s</w:t>
      </w:r>
      <w:r>
        <w:t xml:space="preserve"> </w:t>
      </w:r>
      <w:hyperlink r:id="rId108">
        <w:r>
          <w:rPr>
            <w:rStyle w:val="Hyperlink"/>
          </w:rPr>
          <w:t xml:space="preserve">GitHub</w:t>
        </w:r>
        <w:r>
          <w:rPr>
            <w:rStyle w:val="Hyperlink"/>
          </w:rPr>
          <w:t xml:space="preserve"> </w:t>
        </w:r>
        <w:r>
          <w:rPr>
            <w:rStyle w:val="Hyperlink"/>
          </w:rPr>
          <w:t xml:space="preserve">repository</w:t>
        </w:r>
      </w:hyperlink>
      <w:r>
        <w:t xml:space="preserve">.</w:t>
      </w:r>
      <w:hyperlink r:id="rId102"/>
      <w:r>
        <w:br/>
      </w:r>
      <w:r>
        <w:rPr>
          <w:i/>
          <w:iCs/>
        </w:rPr>
        <w:t xml:space="preserve">Abbreviations: DALYs: disability-adjusted life years; YLDs: years lived with disability; YLLs: years of life lost; EU: European Union; SDI: Socio-Demographic Index; Alabama: AL; Alaska: AK; Arizona: AZ; Arkansas: AR; California: CA; Colorado: CO; Connecticut: CT; Delaware: DE; District of Columbia: DC; Florida: FL; Georgia: GA; Hawaii: HI; Idaho: ID; Illinois: IL; Indiana: IN; Iowa: IA; Kansas: KS; Kentucky: KY; Louisiana: LA; Maine: ME; Maryland: MD; Massachusetts: MA; Michigan: MI; Minnesota: MN; Mississippi: MS; Missouri: MO; Montana: MT; Nebraska: NE; Nevada: NV; New Hampshire: NH; New Jersey: NJ; New Mexico: NM; New York: NY; North Carolina: NC; North Dakota: ND; Ohio: OH; Oklahoma: OK; Oregon: OR; Pennsylvania: PA; Rhode Island: RI; South Carolina: SC; South Dakota: SD; Tennessee: TN; Texas: TX; Utah: UT; Vermont: VT; Virginia: VA; Washington: WA; West Virginia: WV; Wisconsin: WI; Wyoming: WY.</w:t>
      </w:r>
    </w:p>
    <w:p>
      <w:pPr>
        <w:numPr>
          <w:ilvl w:val="0"/>
          <w:numId w:val="1009"/>
        </w:numPr>
      </w:pPr>
      <w:r>
        <w:rPr>
          <w:b/>
          <w:bCs/>
        </w:rPr>
        <w:t xml:space="preserve">State ranking bump plots</w:t>
      </w:r>
      <w:r>
        <w:br/>
      </w:r>
      <w:r>
        <w:t xml:space="preserve">Ranks of jurisdictions by point estimate in 1990, 2000, 2010 and 2021, available from the</w:t>
      </w:r>
      <w:r>
        <w:t xml:space="preserve"> </w:t>
      </w:r>
      <w:r>
        <w:t xml:space="preserve">project’s</w:t>
      </w:r>
      <w:r>
        <w:t xml:space="preserve"> </w:t>
      </w:r>
      <w:hyperlink r:id="rId109">
        <w:r>
          <w:rPr>
            <w:rStyle w:val="Hyperlink"/>
          </w:rPr>
          <w:t xml:space="preserve">GitHub</w:t>
        </w:r>
        <w:r>
          <w:rPr>
            <w:rStyle w:val="Hyperlink"/>
          </w:rPr>
          <w:t xml:space="preserve"> </w:t>
        </w:r>
        <w:r>
          <w:rPr>
            <w:rStyle w:val="Hyperlink"/>
          </w:rPr>
          <w:t xml:space="preserve">repository</w:t>
        </w:r>
      </w:hyperlink>
      <w:r>
        <w:t xml:space="preserve">.</w:t>
      </w:r>
      <w:hyperlink r:id="rId102"/>
    </w:p>
    <w:p>
      <w:pPr>
        <w:numPr>
          <w:ilvl w:val="0"/>
          <w:numId w:val="1009"/>
        </w:numPr>
      </w:pPr>
      <w:r>
        <w:rPr>
          <w:b/>
          <w:bCs/>
        </w:rPr>
        <w:t xml:space="preserve">Software</w:t>
      </w:r>
      <w:r>
        <w:br/>
      </w:r>
      <w:r>
        <w:t xml:space="preserve">R version and attached package versions used for the analysis (table below).</w:t>
      </w:r>
      <w:hyperlink r:id="rId102"/>
    </w:p>
    <w:tbl>
      <w:tblPr>
        <w:tblStyle w:val="Table"/>
        <w:tblW w:type="pct" w:w="5000"/>
        <w:jc w:val="left"/>
        <w:tblInd w:w="720" w:type="dxa"/>
        <w:tblLayout w:type="fixed"/>
        <w:tblLook w:firstRow="0" w:lastRow="0" w:firstColumn="0" w:lastColumn="0" w:noHBand="0" w:noVBand="0" w:val="0000"/>
      </w:tblPr>
      <w:tblGrid>
        <w:gridCol w:w="7920"/>
      </w:tblGrid>
      <w:tr>
        <w:tc>
          <w:tcPr/>
          <w:bookmarkStart w:id="110" w:name="tbl-software"/>
          <w:p>
            <w:pPr>
              <w:jc w:val="center"/>
            </w:pPr>
            <w:pPr>
              <w:jc w:val="left"/>
              <w:spacing w:before="200"/>
              <w:pStyle w:val="ImageCaption"/>
            </w:pPr>
            <w:r>
              <w:t xml:space="preserve">Table 3: Software used for the analysis (</w:t>
            </w:r>
            <w:hyperlink w:anchor="sup-software">
              <w:r>
                <w:rPr>
                  <w:rStyle w:val="Hyperlink"/>
                </w:rPr>
                <w:t xml:space="preserve">Supporting Info 9</w:t>
              </w:r>
            </w:hyperlink>
            <w:r>
              <w:t xml:space="preserve">).</w:t>
            </w:r>
          </w:p>
          <w:tbl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pic="http://schemas.openxmlformats.org/drawingml/2006/picture">
            <w:tblPr>
              <w:tblLayout w:type="fixed"/>
              <w:jc w:val="center"/>
              <w:tblLook w:firstRow="1" w:lastRow="0" w:firstColumn="0" w:lastColumn="0" w:noHBand="0" w:noVBand="1"/>
            </w:tblPr>
            <w:tblGrid>
              <w:gridCol w:w="1297"/>
              <w:gridCol w:w="977"/>
            </w:tblGrid>
            <w:tr>
              <w:trPr>
                <w:trHeight w:val="566" w:hRule="auto"/>
                <w:tblHeader/>
              </w:trPr>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Package</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Version</w:t>
                  </w:r>
                </w:p>
              </w:tc>
            </w:tr>
            <w:tr>
              <w:trPr>
                <w:trHeight w:val="536" w:hRule="auto"/>
              </w:trPr>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R</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4.6.1</w:t>
                  </w:r>
                </w:p>
              </w:tc>
            </w:tr>
            <w:tr>
              <w:trPr>
                <w:trHeight w:val="53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flextable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0.9.12</w:t>
                  </w:r>
                </w:p>
              </w:tc>
            </w:tr>
            <w:tr>
              <w:trPr>
                <w:trHeight w:val="53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paletteer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1.7.0</w:t>
                  </w:r>
                </w:p>
              </w:tc>
            </w:tr>
            <w:tr>
              <w:trPr>
                <w:trHeight w:val="53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gganimate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1.0.11</w:t>
                  </w:r>
                </w:p>
              </w:tc>
            </w:tr>
            <w:tr>
              <w:trPr>
                <w:trHeight w:val="53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furrr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0.4.0</w:t>
                  </w:r>
                </w:p>
              </w:tc>
            </w:tr>
            <w:tr>
              <w:trPr>
                <w:trHeight w:val="53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future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1.70.0</w:t>
                  </w:r>
                </w:p>
              </w:tc>
            </w:tr>
            <w:tr>
              <w:trPr>
                <w:trHeight w:val="53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ggnewscale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0.5.2</w:t>
                  </w:r>
                </w:p>
              </w:tc>
            </w:tr>
            <w:tr>
              <w:trPr>
                <w:trHeight w:val="53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geofacet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0.2.4</w:t>
                  </w:r>
                </w:p>
              </w:tc>
            </w:tr>
            <w:tr>
              <w:trPr>
                <w:trHeight w:val="53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glue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1.8.1</w:t>
                  </w:r>
                </w:p>
              </w:tc>
            </w:tr>
            <w:tr>
              <w:trPr>
                <w:trHeight w:val="53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scales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1.4.0</w:t>
                  </w:r>
                </w:p>
              </w:tc>
            </w:tr>
            <w:tr>
              <w:trPr>
                <w:trHeight w:val="53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lubridate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1.9.5</w:t>
                  </w:r>
                </w:p>
              </w:tc>
            </w:tr>
            <w:tr>
              <w:trPr>
                <w:trHeight w:val="53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forcats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1.0.1</w:t>
                  </w:r>
                </w:p>
              </w:tc>
            </w:tr>
            <w:tr>
              <w:trPr>
                <w:trHeight w:val="53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stringr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1.6.0</w:t>
                  </w:r>
                </w:p>
              </w:tc>
            </w:tr>
            <w:tr>
              <w:trPr>
                <w:trHeight w:val="53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dplyr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1.2.1</w:t>
                  </w:r>
                </w:p>
              </w:tc>
            </w:tr>
            <w:tr>
              <w:trPr>
                <w:trHeight w:val="53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purrr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1.2.2</w:t>
                  </w:r>
                </w:p>
              </w:tc>
            </w:tr>
            <w:tr>
              <w:trPr>
                <w:trHeight w:val="53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readr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2.2.0</w:t>
                  </w:r>
                </w:p>
              </w:tc>
            </w:tr>
            <w:tr>
              <w:trPr>
                <w:trHeight w:val="53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tidyr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1.3.2</w:t>
                  </w:r>
                </w:p>
              </w:tc>
            </w:tr>
            <w:tr>
              <w:trPr>
                <w:trHeight w:val="53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tibble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3.3.1</w:t>
                  </w:r>
                </w:p>
              </w:tc>
            </w:tr>
            <w:tr>
              <w:trPr>
                <w:trHeight w:val="53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ggplot2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4.0.3</w:t>
                  </w:r>
                </w:p>
              </w:tc>
            </w:tr>
            <w:tr>
              <w:trPr>
                <w:trHeight w:val="551" w:hRule="auto"/>
              </w:trPr>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tidyverse</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2.0.0</w:t>
                  </w:r>
                </w:p>
              </w:tc>
            </w:tr>
          </w:tbl>
          <w:bookmarkEnd w:id="110"/>
        </w:tc>
      </w:tr>
    </w:tbl>
    <w:p>
      <w:pPr>
        <w:numPr>
          <w:ilvl w:val="0"/>
          <w:numId w:val="1009"/>
        </w:numPr>
      </w:pPr>
      <w:r>
        <w:rPr>
          <w:b/>
          <w:bCs/>
        </w:rPr>
        <w:t xml:space="preserve">GATHER checklist</w:t>
      </w:r>
      <w:r>
        <w:br/>
      </w:r>
      <w:r>
        <w:t xml:space="preserve">Completed GATHER checklist with manuscript locations: file</w:t>
      </w:r>
      <w:r>
        <w:t xml:space="preserve"> </w:t>
      </w:r>
      <w:r>
        <w:rPr>
          <w:rStyle w:val="VerbatimChar"/>
        </w:rPr>
        <w:t xml:space="preserve">gather_checklist.md</w:t>
      </w:r>
      <w:r>
        <w:t xml:space="preserve">, also available</w:t>
      </w:r>
      <w:r>
        <w:t xml:space="preserve"> </w:t>
      </w:r>
      <w:r>
        <w:t xml:space="preserve">from the project’s</w:t>
      </w:r>
      <w:r>
        <w:t xml:space="preserve"> </w:t>
      </w:r>
      <w:hyperlink r:id="rId61">
        <w:r>
          <w:rPr>
            <w:rStyle w:val="Hyperlink"/>
          </w:rPr>
          <w:t xml:space="preserve">GitHub repository</w:t>
        </w:r>
      </w:hyperlink>
      <w:r>
        <w:t xml:space="preserve">.</w:t>
      </w:r>
      <w:hyperlink r:id="rId102"/>
    </w:p>
    <w:bookmarkEnd w:id="111"/>
    <w:bookmarkStart w:id="112" w:name="list-of-abbreviations"/>
    <w:p>
      <w:pPr>
        <w:pStyle w:val="Heading1"/>
      </w:pPr>
      <w:r>
        <w:t xml:space="preserve">7. List of abbreviations</w:t>
      </w:r>
    </w:p>
    <w:p>
      <w:pPr>
        <w:pStyle w:val="Compact"/>
        <w:numPr>
          <w:ilvl w:val="0"/>
          <w:numId w:val="1010"/>
        </w:numPr>
      </w:pPr>
      <w:r>
        <w:t xml:space="preserve">ACS – American Cancer Society</w:t>
      </w:r>
    </w:p>
    <w:p>
      <w:pPr>
        <w:pStyle w:val="Compact"/>
        <w:numPr>
          <w:ilvl w:val="0"/>
          <w:numId w:val="1010"/>
        </w:numPr>
      </w:pPr>
      <w:r>
        <w:t xml:space="preserve">ASR – age-standardized rate</w:t>
      </w:r>
    </w:p>
    <w:p>
      <w:pPr>
        <w:pStyle w:val="Compact"/>
        <w:numPr>
          <w:ilvl w:val="0"/>
          <w:numId w:val="1010"/>
        </w:numPr>
      </w:pPr>
      <w:r>
        <w:t xml:space="preserve">BC – bladder cancer</w:t>
      </w:r>
    </w:p>
    <w:p>
      <w:pPr>
        <w:pStyle w:val="Compact"/>
        <w:numPr>
          <w:ilvl w:val="0"/>
          <w:numId w:val="1010"/>
        </w:numPr>
      </w:pPr>
      <w:r>
        <w:t xml:space="preserve">DALYs – disability-adjusted life years</w:t>
      </w:r>
    </w:p>
    <w:p>
      <w:pPr>
        <w:pStyle w:val="Compact"/>
        <w:numPr>
          <w:ilvl w:val="0"/>
          <w:numId w:val="1010"/>
        </w:numPr>
      </w:pPr>
      <w:r>
        <w:t xml:space="preserve">GATHER – Guidelines for Accurate and Transparent Health Estimates Reporting</w:t>
      </w:r>
    </w:p>
    <w:p>
      <w:pPr>
        <w:pStyle w:val="Compact"/>
        <w:numPr>
          <w:ilvl w:val="0"/>
          <w:numId w:val="1010"/>
        </w:numPr>
      </w:pPr>
      <w:r>
        <w:t xml:space="preserve">GBD – Global Burden of Disease</w:t>
      </w:r>
    </w:p>
    <w:p>
      <w:pPr>
        <w:pStyle w:val="Compact"/>
        <w:numPr>
          <w:ilvl w:val="0"/>
          <w:numId w:val="1010"/>
        </w:numPr>
      </w:pPr>
      <w:r>
        <w:t xml:space="preserve">GHDx – Global Health Data Exchange</w:t>
      </w:r>
    </w:p>
    <w:p>
      <w:pPr>
        <w:pStyle w:val="Compact"/>
        <w:numPr>
          <w:ilvl w:val="0"/>
          <w:numId w:val="1010"/>
        </w:numPr>
      </w:pPr>
      <w:r>
        <w:t xml:space="preserve">SDI – Socio-Demographic Index</w:t>
      </w:r>
    </w:p>
    <w:p>
      <w:pPr>
        <w:pStyle w:val="Compact"/>
        <w:numPr>
          <w:ilvl w:val="0"/>
          <w:numId w:val="1010"/>
        </w:numPr>
      </w:pPr>
      <w:r>
        <w:t xml:space="preserve">SEER – Surveillance, Epidemiology, and End Results</w:t>
      </w:r>
    </w:p>
    <w:p>
      <w:pPr>
        <w:pStyle w:val="Compact"/>
        <w:numPr>
          <w:ilvl w:val="0"/>
          <w:numId w:val="1010"/>
        </w:numPr>
      </w:pPr>
      <w:r>
        <w:t xml:space="preserve">UI – uncertainty interval</w:t>
      </w:r>
    </w:p>
    <w:p>
      <w:pPr>
        <w:pStyle w:val="Compact"/>
        <w:numPr>
          <w:ilvl w:val="0"/>
          <w:numId w:val="1010"/>
        </w:numPr>
      </w:pPr>
      <w:r>
        <w:t xml:space="preserve">YLDs – years lived with disability</w:t>
      </w:r>
    </w:p>
    <w:p>
      <w:pPr>
        <w:pStyle w:val="Compact"/>
        <w:numPr>
          <w:ilvl w:val="0"/>
          <w:numId w:val="1010"/>
        </w:numPr>
      </w:pPr>
      <w:r>
        <w:t xml:space="preserve">YLLs – years of life lost</w:t>
      </w:r>
    </w:p>
    <w:p>
      <w:pPr>
        <w:pStyle w:val="Compact"/>
        <w:numPr>
          <w:ilvl w:val="0"/>
          <w:numId w:val="1010"/>
        </w:numPr>
      </w:pPr>
      <w:r>
        <w:t xml:space="preserve">AL – Alabama</w:t>
      </w:r>
    </w:p>
    <w:p>
      <w:pPr>
        <w:pStyle w:val="Compact"/>
        <w:numPr>
          <w:ilvl w:val="0"/>
          <w:numId w:val="1010"/>
        </w:numPr>
      </w:pPr>
      <w:r>
        <w:t xml:space="preserve">AK – Alaska</w:t>
      </w:r>
    </w:p>
    <w:p>
      <w:pPr>
        <w:pStyle w:val="Compact"/>
        <w:numPr>
          <w:ilvl w:val="0"/>
          <w:numId w:val="1010"/>
        </w:numPr>
      </w:pPr>
      <w:r>
        <w:t xml:space="preserve">AZ – Arizona</w:t>
      </w:r>
    </w:p>
    <w:p>
      <w:pPr>
        <w:pStyle w:val="Compact"/>
        <w:numPr>
          <w:ilvl w:val="0"/>
          <w:numId w:val="1010"/>
        </w:numPr>
      </w:pPr>
      <w:r>
        <w:t xml:space="preserve">AR – Arkansas</w:t>
      </w:r>
    </w:p>
    <w:p>
      <w:pPr>
        <w:pStyle w:val="Compact"/>
        <w:numPr>
          <w:ilvl w:val="0"/>
          <w:numId w:val="1010"/>
        </w:numPr>
      </w:pPr>
      <w:r>
        <w:t xml:space="preserve">CA – California</w:t>
      </w:r>
    </w:p>
    <w:p>
      <w:pPr>
        <w:pStyle w:val="Compact"/>
        <w:numPr>
          <w:ilvl w:val="0"/>
          <w:numId w:val="1010"/>
        </w:numPr>
      </w:pPr>
      <w:r>
        <w:t xml:space="preserve">CO – Colorado</w:t>
      </w:r>
    </w:p>
    <w:p>
      <w:pPr>
        <w:pStyle w:val="Compact"/>
        <w:numPr>
          <w:ilvl w:val="0"/>
          <w:numId w:val="1010"/>
        </w:numPr>
      </w:pPr>
      <w:r>
        <w:t xml:space="preserve">CT – Connecticut</w:t>
      </w:r>
    </w:p>
    <w:p>
      <w:pPr>
        <w:pStyle w:val="Compact"/>
        <w:numPr>
          <w:ilvl w:val="0"/>
          <w:numId w:val="1010"/>
        </w:numPr>
      </w:pPr>
      <w:r>
        <w:t xml:space="preserve">DE – Delaware</w:t>
      </w:r>
    </w:p>
    <w:p>
      <w:pPr>
        <w:pStyle w:val="Compact"/>
        <w:numPr>
          <w:ilvl w:val="0"/>
          <w:numId w:val="1010"/>
        </w:numPr>
      </w:pPr>
      <w:r>
        <w:t xml:space="preserve">DC – District of Columbia</w:t>
      </w:r>
    </w:p>
    <w:p>
      <w:pPr>
        <w:pStyle w:val="Compact"/>
        <w:numPr>
          <w:ilvl w:val="0"/>
          <w:numId w:val="1010"/>
        </w:numPr>
      </w:pPr>
      <w:r>
        <w:t xml:space="preserve">FL – Florida</w:t>
      </w:r>
    </w:p>
    <w:p>
      <w:pPr>
        <w:pStyle w:val="Compact"/>
        <w:numPr>
          <w:ilvl w:val="0"/>
          <w:numId w:val="1010"/>
        </w:numPr>
      </w:pPr>
      <w:r>
        <w:t xml:space="preserve">GA – Georgia</w:t>
      </w:r>
    </w:p>
    <w:p>
      <w:pPr>
        <w:pStyle w:val="Compact"/>
        <w:numPr>
          <w:ilvl w:val="0"/>
          <w:numId w:val="1010"/>
        </w:numPr>
      </w:pPr>
      <w:r>
        <w:t xml:space="preserve">HI – Hawaii</w:t>
      </w:r>
    </w:p>
    <w:p>
      <w:pPr>
        <w:pStyle w:val="Compact"/>
        <w:numPr>
          <w:ilvl w:val="0"/>
          <w:numId w:val="1010"/>
        </w:numPr>
      </w:pPr>
      <w:r>
        <w:t xml:space="preserve">ID – Idaho</w:t>
      </w:r>
    </w:p>
    <w:p>
      <w:pPr>
        <w:pStyle w:val="Compact"/>
        <w:numPr>
          <w:ilvl w:val="0"/>
          <w:numId w:val="1010"/>
        </w:numPr>
      </w:pPr>
      <w:r>
        <w:t xml:space="preserve">IL – Illinois</w:t>
      </w:r>
    </w:p>
    <w:p>
      <w:pPr>
        <w:pStyle w:val="Compact"/>
        <w:numPr>
          <w:ilvl w:val="0"/>
          <w:numId w:val="1010"/>
        </w:numPr>
      </w:pPr>
      <w:r>
        <w:t xml:space="preserve">IN – Indiana</w:t>
      </w:r>
    </w:p>
    <w:p>
      <w:pPr>
        <w:pStyle w:val="Compact"/>
        <w:numPr>
          <w:ilvl w:val="0"/>
          <w:numId w:val="1010"/>
        </w:numPr>
      </w:pPr>
      <w:r>
        <w:t xml:space="preserve">IA – Iowa</w:t>
      </w:r>
    </w:p>
    <w:p>
      <w:pPr>
        <w:pStyle w:val="Compact"/>
        <w:numPr>
          <w:ilvl w:val="0"/>
          <w:numId w:val="1010"/>
        </w:numPr>
      </w:pPr>
      <w:r>
        <w:t xml:space="preserve">KS – Kansas</w:t>
      </w:r>
    </w:p>
    <w:p>
      <w:pPr>
        <w:pStyle w:val="Compact"/>
        <w:numPr>
          <w:ilvl w:val="0"/>
          <w:numId w:val="1010"/>
        </w:numPr>
      </w:pPr>
      <w:r>
        <w:t xml:space="preserve">KY – Kentucky</w:t>
      </w:r>
    </w:p>
    <w:p>
      <w:pPr>
        <w:pStyle w:val="Compact"/>
        <w:numPr>
          <w:ilvl w:val="0"/>
          <w:numId w:val="1010"/>
        </w:numPr>
      </w:pPr>
      <w:r>
        <w:t xml:space="preserve">LA – Louisiana</w:t>
      </w:r>
    </w:p>
    <w:p>
      <w:pPr>
        <w:pStyle w:val="Compact"/>
        <w:numPr>
          <w:ilvl w:val="0"/>
          <w:numId w:val="1010"/>
        </w:numPr>
      </w:pPr>
      <w:r>
        <w:t xml:space="preserve">ME – Maine</w:t>
      </w:r>
    </w:p>
    <w:p>
      <w:pPr>
        <w:pStyle w:val="Compact"/>
        <w:numPr>
          <w:ilvl w:val="0"/>
          <w:numId w:val="1010"/>
        </w:numPr>
      </w:pPr>
      <w:r>
        <w:t xml:space="preserve">MD – Maryland</w:t>
      </w:r>
    </w:p>
    <w:p>
      <w:pPr>
        <w:pStyle w:val="Compact"/>
        <w:numPr>
          <w:ilvl w:val="0"/>
          <w:numId w:val="1010"/>
        </w:numPr>
      </w:pPr>
      <w:r>
        <w:t xml:space="preserve">MA – Massachusetts</w:t>
      </w:r>
    </w:p>
    <w:p>
      <w:pPr>
        <w:pStyle w:val="Compact"/>
        <w:numPr>
          <w:ilvl w:val="0"/>
          <w:numId w:val="1010"/>
        </w:numPr>
      </w:pPr>
      <w:r>
        <w:t xml:space="preserve">MI – Michigan</w:t>
      </w:r>
    </w:p>
    <w:p>
      <w:pPr>
        <w:pStyle w:val="Compact"/>
        <w:numPr>
          <w:ilvl w:val="0"/>
          <w:numId w:val="1010"/>
        </w:numPr>
      </w:pPr>
      <w:r>
        <w:t xml:space="preserve">MN – Minnesota</w:t>
      </w:r>
    </w:p>
    <w:p>
      <w:pPr>
        <w:pStyle w:val="Compact"/>
        <w:numPr>
          <w:ilvl w:val="0"/>
          <w:numId w:val="1010"/>
        </w:numPr>
      </w:pPr>
      <w:r>
        <w:t xml:space="preserve">MS – Mississippi</w:t>
      </w:r>
    </w:p>
    <w:p>
      <w:pPr>
        <w:pStyle w:val="Compact"/>
        <w:numPr>
          <w:ilvl w:val="0"/>
          <w:numId w:val="1010"/>
        </w:numPr>
      </w:pPr>
      <w:r>
        <w:t xml:space="preserve">MO – Missouri</w:t>
      </w:r>
    </w:p>
    <w:p>
      <w:pPr>
        <w:pStyle w:val="Compact"/>
        <w:numPr>
          <w:ilvl w:val="0"/>
          <w:numId w:val="1010"/>
        </w:numPr>
      </w:pPr>
      <w:r>
        <w:t xml:space="preserve">MT – Montana</w:t>
      </w:r>
    </w:p>
    <w:p>
      <w:pPr>
        <w:pStyle w:val="Compact"/>
        <w:numPr>
          <w:ilvl w:val="0"/>
          <w:numId w:val="1010"/>
        </w:numPr>
      </w:pPr>
      <w:r>
        <w:t xml:space="preserve">NE – Nebraska</w:t>
      </w:r>
    </w:p>
    <w:p>
      <w:pPr>
        <w:pStyle w:val="Compact"/>
        <w:numPr>
          <w:ilvl w:val="0"/>
          <w:numId w:val="1010"/>
        </w:numPr>
      </w:pPr>
      <w:r>
        <w:t xml:space="preserve">NV – Nevada</w:t>
      </w:r>
    </w:p>
    <w:p>
      <w:pPr>
        <w:pStyle w:val="Compact"/>
        <w:numPr>
          <w:ilvl w:val="0"/>
          <w:numId w:val="1010"/>
        </w:numPr>
      </w:pPr>
      <w:r>
        <w:t xml:space="preserve">NH – New Hampshire</w:t>
      </w:r>
    </w:p>
    <w:p>
      <w:pPr>
        <w:pStyle w:val="Compact"/>
        <w:numPr>
          <w:ilvl w:val="0"/>
          <w:numId w:val="1010"/>
        </w:numPr>
      </w:pPr>
      <w:r>
        <w:t xml:space="preserve">NJ – New Jersey</w:t>
      </w:r>
    </w:p>
    <w:p>
      <w:pPr>
        <w:pStyle w:val="Compact"/>
        <w:numPr>
          <w:ilvl w:val="0"/>
          <w:numId w:val="1010"/>
        </w:numPr>
      </w:pPr>
      <w:r>
        <w:t xml:space="preserve">NM – New Mexico</w:t>
      </w:r>
    </w:p>
    <w:p>
      <w:pPr>
        <w:pStyle w:val="Compact"/>
        <w:numPr>
          <w:ilvl w:val="0"/>
          <w:numId w:val="1010"/>
        </w:numPr>
      </w:pPr>
      <w:r>
        <w:t xml:space="preserve">NY – New York</w:t>
      </w:r>
    </w:p>
    <w:p>
      <w:pPr>
        <w:pStyle w:val="Compact"/>
        <w:numPr>
          <w:ilvl w:val="0"/>
          <w:numId w:val="1010"/>
        </w:numPr>
      </w:pPr>
      <w:r>
        <w:t xml:space="preserve">NC – North Carolina</w:t>
      </w:r>
    </w:p>
    <w:p>
      <w:pPr>
        <w:pStyle w:val="Compact"/>
        <w:numPr>
          <w:ilvl w:val="0"/>
          <w:numId w:val="1010"/>
        </w:numPr>
      </w:pPr>
      <w:r>
        <w:t xml:space="preserve">ND – North Dakota</w:t>
      </w:r>
    </w:p>
    <w:p>
      <w:pPr>
        <w:pStyle w:val="Compact"/>
        <w:numPr>
          <w:ilvl w:val="0"/>
          <w:numId w:val="1010"/>
        </w:numPr>
      </w:pPr>
      <w:r>
        <w:t xml:space="preserve">OH – Ohio</w:t>
      </w:r>
    </w:p>
    <w:p>
      <w:pPr>
        <w:pStyle w:val="Compact"/>
        <w:numPr>
          <w:ilvl w:val="0"/>
          <w:numId w:val="1010"/>
        </w:numPr>
      </w:pPr>
      <w:r>
        <w:t xml:space="preserve">OK – Oklahoma</w:t>
      </w:r>
    </w:p>
    <w:p>
      <w:pPr>
        <w:pStyle w:val="Compact"/>
        <w:numPr>
          <w:ilvl w:val="0"/>
          <w:numId w:val="1010"/>
        </w:numPr>
      </w:pPr>
      <w:r>
        <w:t xml:space="preserve">OR – Oregon</w:t>
      </w:r>
    </w:p>
    <w:p>
      <w:pPr>
        <w:pStyle w:val="Compact"/>
        <w:numPr>
          <w:ilvl w:val="0"/>
          <w:numId w:val="1010"/>
        </w:numPr>
      </w:pPr>
      <w:r>
        <w:t xml:space="preserve">PA – Pennsylvania</w:t>
      </w:r>
    </w:p>
    <w:p>
      <w:pPr>
        <w:pStyle w:val="Compact"/>
        <w:numPr>
          <w:ilvl w:val="0"/>
          <w:numId w:val="1010"/>
        </w:numPr>
      </w:pPr>
      <w:r>
        <w:t xml:space="preserve">RI – Rhode Island</w:t>
      </w:r>
    </w:p>
    <w:p>
      <w:pPr>
        <w:pStyle w:val="Compact"/>
        <w:numPr>
          <w:ilvl w:val="0"/>
          <w:numId w:val="1010"/>
        </w:numPr>
      </w:pPr>
      <w:r>
        <w:t xml:space="preserve">SC – South Carolina</w:t>
      </w:r>
    </w:p>
    <w:p>
      <w:pPr>
        <w:pStyle w:val="Compact"/>
        <w:numPr>
          <w:ilvl w:val="0"/>
          <w:numId w:val="1010"/>
        </w:numPr>
      </w:pPr>
      <w:r>
        <w:t xml:space="preserve">SD – South Dakota</w:t>
      </w:r>
    </w:p>
    <w:p>
      <w:pPr>
        <w:pStyle w:val="Compact"/>
        <w:numPr>
          <w:ilvl w:val="0"/>
          <w:numId w:val="1010"/>
        </w:numPr>
      </w:pPr>
      <w:r>
        <w:t xml:space="preserve">TN – Tennessee</w:t>
      </w:r>
    </w:p>
    <w:p>
      <w:pPr>
        <w:pStyle w:val="Compact"/>
        <w:numPr>
          <w:ilvl w:val="0"/>
          <w:numId w:val="1010"/>
        </w:numPr>
      </w:pPr>
      <w:r>
        <w:t xml:space="preserve">TX – Texas</w:t>
      </w:r>
    </w:p>
    <w:p>
      <w:pPr>
        <w:pStyle w:val="Compact"/>
        <w:numPr>
          <w:ilvl w:val="0"/>
          <w:numId w:val="1010"/>
        </w:numPr>
      </w:pPr>
      <w:r>
        <w:t xml:space="preserve">UT – Utah</w:t>
      </w:r>
    </w:p>
    <w:p>
      <w:pPr>
        <w:pStyle w:val="Compact"/>
        <w:numPr>
          <w:ilvl w:val="0"/>
          <w:numId w:val="1010"/>
        </w:numPr>
      </w:pPr>
      <w:r>
        <w:t xml:space="preserve">VT – Vermont</w:t>
      </w:r>
    </w:p>
    <w:p>
      <w:pPr>
        <w:pStyle w:val="Compact"/>
        <w:numPr>
          <w:ilvl w:val="0"/>
          <w:numId w:val="1010"/>
        </w:numPr>
      </w:pPr>
      <w:r>
        <w:t xml:space="preserve">VA – Virginia</w:t>
      </w:r>
    </w:p>
    <w:p>
      <w:pPr>
        <w:pStyle w:val="Compact"/>
        <w:numPr>
          <w:ilvl w:val="0"/>
          <w:numId w:val="1010"/>
        </w:numPr>
      </w:pPr>
      <w:r>
        <w:t xml:space="preserve">WA – Washington</w:t>
      </w:r>
    </w:p>
    <w:p>
      <w:pPr>
        <w:pStyle w:val="Compact"/>
        <w:numPr>
          <w:ilvl w:val="0"/>
          <w:numId w:val="1010"/>
        </w:numPr>
      </w:pPr>
      <w:r>
        <w:t xml:space="preserve">WV – West Virginia</w:t>
      </w:r>
    </w:p>
    <w:p>
      <w:pPr>
        <w:pStyle w:val="Compact"/>
        <w:numPr>
          <w:ilvl w:val="0"/>
          <w:numId w:val="1010"/>
        </w:numPr>
      </w:pPr>
      <w:r>
        <w:t xml:space="preserve">WI – Wisconsin</w:t>
      </w:r>
    </w:p>
    <w:p>
      <w:pPr>
        <w:pStyle w:val="Compact"/>
        <w:numPr>
          <w:ilvl w:val="0"/>
          <w:numId w:val="1010"/>
        </w:numPr>
      </w:pPr>
      <w:r>
        <w:t xml:space="preserve">WY – Wyoming</w:t>
      </w:r>
    </w:p>
    <w:bookmarkEnd w:id="112"/>
    <w:bookmarkStart w:id="122" w:name="declarations"/>
    <w:p>
      <w:pPr>
        <w:pStyle w:val="Heading1"/>
      </w:pPr>
      <w:r>
        <w:t xml:space="preserve">8. Declarations</w:t>
      </w:r>
    </w:p>
    <w:bookmarkStart w:id="113" w:name="Xd182db0490b2de20bd2b4e4cc8698599182035f"/>
    <w:p>
      <w:pPr>
        <w:pStyle w:val="Heading2"/>
      </w:pPr>
      <w:r>
        <w:t xml:space="preserve">8.1 Ethics approval and consent to participate</w:t>
      </w:r>
    </w:p>
    <w:p>
      <w:pPr>
        <w:pStyle w:val="FirstParagraph"/>
      </w:pPr>
      <w:r>
        <w:t xml:space="preserve">This study utilized publicly available, de-identified data from the Global Burden of Disease (GBD)</w:t>
      </w:r>
      <w:r>
        <w:t xml:space="preserve"> </w:t>
      </w:r>
      <w:r>
        <w:t xml:space="preserve">study. As the data do not involve direct human participation and are anonymized, institutional</w:t>
      </w:r>
      <w:r>
        <w:t xml:space="preserve"> </w:t>
      </w:r>
      <w:r>
        <w:t xml:space="preserve">ethics approval and informed consent were not required. The study was conducted in accordance with</w:t>
      </w:r>
      <w:r>
        <w:t xml:space="preserve"> </w:t>
      </w:r>
      <w:r>
        <w:t xml:space="preserve">the principles of the Declaration of Helsinki.</w:t>
      </w:r>
    </w:p>
    <w:bookmarkEnd w:id="113"/>
    <w:bookmarkStart w:id="114" w:name="consent-for-publication"/>
    <w:p>
      <w:pPr>
        <w:pStyle w:val="Heading2"/>
      </w:pPr>
      <w:r>
        <w:t xml:space="preserve">8.2 Consent for publication</w:t>
      </w:r>
    </w:p>
    <w:p>
      <w:pPr>
        <w:pStyle w:val="FirstParagraph"/>
      </w:pPr>
      <w:r>
        <w:t xml:space="preserve">Not applicable.</w:t>
      </w:r>
    </w:p>
    <w:bookmarkEnd w:id="114"/>
    <w:bookmarkStart w:id="115" w:name="authors-contributions"/>
    <w:p>
      <w:pPr>
        <w:pStyle w:val="Heading2"/>
      </w:pPr>
      <w:r>
        <w:t xml:space="preserve">8.3 Authors’ contributions</w:t>
      </w:r>
    </w:p>
    <w:p>
      <w:pPr>
        <w:pStyle w:val="FirstParagraph"/>
      </w:pPr>
      <w:r>
        <w:rPr>
          <w:b/>
          <w:bCs/>
        </w:rPr>
        <w:t xml:space="preserve">Conceptualization:</w:t>
      </w:r>
      <w:r>
        <w:t xml:space="preserve"> </w:t>
      </w:r>
      <w:r>
        <w:t xml:space="preserve">Alireza Sadeghi;</w:t>
      </w:r>
      <w:r>
        <w:t xml:space="preserve"> </w:t>
      </w:r>
      <w:r>
        <w:rPr>
          <w:b/>
          <w:bCs/>
        </w:rPr>
        <w:t xml:space="preserve">Data curation:</w:t>
      </w:r>
      <w:r>
        <w:t xml:space="preserve"> </w:t>
      </w:r>
      <w:r>
        <w:t xml:space="preserve">Alireza Sadeghi, Niloofar Dehdari Ebrahimi, Ehsan Taherifard;</w:t>
      </w:r>
      <w:r>
        <w:t xml:space="preserve"> </w:t>
      </w:r>
      <w:r>
        <w:rPr>
          <w:b/>
          <w:bCs/>
        </w:rPr>
        <w:t xml:space="preserve">Formal analysis:</w:t>
      </w:r>
      <w:r>
        <w:t xml:space="preserve"> </w:t>
      </w:r>
      <w:r>
        <w:t xml:space="preserve">Alireza Sadeghi;</w:t>
      </w:r>
      <w:r>
        <w:t xml:space="preserve"> </w:t>
      </w:r>
      <w:r>
        <w:rPr>
          <w:b/>
          <w:bCs/>
        </w:rPr>
        <w:t xml:space="preserve">Investigation:</w:t>
      </w:r>
      <w:r>
        <w:t xml:space="preserve"> </w:t>
      </w:r>
      <w:r>
        <w:t xml:space="preserve">Alireza Sadeghi, Fatemeh Nouri, Wassim Kassouf;</w:t>
      </w:r>
      <w:r>
        <w:t xml:space="preserve"> </w:t>
      </w:r>
      <w:r>
        <w:rPr>
          <w:b/>
          <w:bCs/>
        </w:rPr>
        <w:t xml:space="preserve">Methodology:</w:t>
      </w:r>
      <w:r>
        <w:t xml:space="preserve"> </w:t>
      </w:r>
      <w:r>
        <w:t xml:space="preserve">Alireza Sadeghi;</w:t>
      </w:r>
      <w:r>
        <w:t xml:space="preserve"> </w:t>
      </w:r>
      <w:r>
        <w:rPr>
          <w:b/>
          <w:bCs/>
        </w:rPr>
        <w:t xml:space="preserve">Software:</w:t>
      </w:r>
      <w:r>
        <w:t xml:space="preserve"> </w:t>
      </w:r>
      <w:r>
        <w:t xml:space="preserve">Alireza Sadeghi;</w:t>
      </w:r>
      <w:r>
        <w:t xml:space="preserve"> </w:t>
      </w:r>
      <w:r>
        <w:rPr>
          <w:b/>
          <w:bCs/>
        </w:rPr>
        <w:t xml:space="preserve">Visualization:</w:t>
      </w:r>
      <w:r>
        <w:t xml:space="preserve"> </w:t>
      </w:r>
      <w:r>
        <w:t xml:space="preserve">Alireza Sadeghi;</w:t>
      </w:r>
      <w:r>
        <w:t xml:space="preserve"> </w:t>
      </w:r>
      <w:r>
        <w:rPr>
          <w:b/>
          <w:bCs/>
        </w:rPr>
        <w:t xml:space="preserve">Writing – review &amp; editing:</w:t>
      </w:r>
      <w:r>
        <w:t xml:space="preserve"> </w:t>
      </w:r>
      <w:r>
        <w:t xml:space="preserve">Alireza Sadeghi, Fatemeh Nouri, Niloofar Dehdari Ebrahimi, Ehsan Taherifard, Mohammadreza Soltani, Stephen B. Williams, Wassim Kassouf;</w:t>
      </w:r>
      <w:r>
        <w:t xml:space="preserve"> </w:t>
      </w:r>
      <w:r>
        <w:rPr>
          <w:b/>
          <w:bCs/>
        </w:rPr>
        <w:t xml:space="preserve">Writing – original draft:</w:t>
      </w:r>
      <w:r>
        <w:t xml:space="preserve"> </w:t>
      </w:r>
      <w:r>
        <w:t xml:space="preserve">Alireza Sadeghi, Fatemeh Nouri;</w:t>
      </w:r>
      <w:r>
        <w:t xml:space="preserve"> </w:t>
      </w:r>
      <w:r>
        <w:rPr>
          <w:b/>
          <w:bCs/>
        </w:rPr>
        <w:t xml:space="preserve">Resources:</w:t>
      </w:r>
      <w:r>
        <w:t xml:space="preserve"> </w:t>
      </w:r>
      <w:r>
        <w:t xml:space="preserve">Ehsan Taherifard;</w:t>
      </w:r>
      <w:r>
        <w:t xml:space="preserve"> </w:t>
      </w:r>
      <w:r>
        <w:rPr>
          <w:b/>
          <w:bCs/>
        </w:rPr>
        <w:t xml:space="preserve">Supervision:</w:t>
      </w:r>
      <w:r>
        <w:t xml:space="preserve"> </w:t>
      </w:r>
      <w:r>
        <w:t xml:space="preserve">Mohammadreza Soltani, Stephen B. Williams, Wassim Kassouf;</w:t>
      </w:r>
      <w:r>
        <w:t xml:space="preserve"> </w:t>
      </w:r>
      <w:r>
        <w:rPr>
          <w:b/>
          <w:bCs/>
        </w:rPr>
        <w:t xml:space="preserve">Project administration:</w:t>
      </w:r>
      <w:r>
        <w:t xml:space="preserve"> </w:t>
      </w:r>
      <w:r>
        <w:t xml:space="preserve">Wassim Kassouf;</w:t>
      </w:r>
    </w:p>
    <w:bookmarkEnd w:id="115"/>
    <w:bookmarkStart w:id="116" w:name="acknowledgments"/>
    <w:p>
      <w:pPr>
        <w:pStyle w:val="Heading2"/>
      </w:pPr>
      <w:r>
        <w:t xml:space="preserve">8.4 Acknowledgments</w:t>
      </w:r>
    </w:p>
    <w:p>
      <w:pPr>
        <w:pStyle w:val="FirstParagraph"/>
      </w:pPr>
      <w:r>
        <w:t xml:space="preserve">None.</w:t>
      </w:r>
    </w:p>
    <w:bookmarkEnd w:id="116"/>
    <w:bookmarkStart w:id="117" w:name="ai-usage"/>
    <w:p>
      <w:pPr>
        <w:pStyle w:val="Heading2"/>
      </w:pPr>
      <w:r>
        <w:t xml:space="preserve">8.5 AI usage</w:t>
      </w:r>
    </w:p>
    <w:p>
      <w:pPr>
        <w:pStyle w:val="FirstParagraph"/>
      </w:pPr>
      <w:r>
        <w:t xml:space="preserve">No AI tools were used in the preparation of the first version of this manuscript’s code. All code</w:t>
      </w:r>
      <w:r>
        <w:t xml:space="preserve"> </w:t>
      </w:r>
      <w:r>
        <w:t xml:space="preserve">was written manually by the first author, Alireza Sadeghi, with no AI involvement in the underlying</w:t>
      </w:r>
      <w:r>
        <w:t xml:space="preserve"> </w:t>
      </w:r>
      <w:r>
        <w:t xml:space="preserve">logic. During the first revision, agentic AI was used solely for linting, styling, formatting, and</w:t>
      </w:r>
      <w:r>
        <w:t xml:space="preserve"> </w:t>
      </w:r>
      <w:r>
        <w:t xml:space="preserve">commenting. Every code change was reviewed and tested by the first author. Readers can inspect the</w:t>
      </w:r>
      <w:r>
        <w:t xml:space="preserve"> </w:t>
      </w:r>
      <w:r>
        <w:t xml:space="preserve">changes between the commit at submission and the commit at revision via the project’s</w:t>
      </w:r>
      <w:r>
        <w:t xml:space="preserve"> </w:t>
      </w:r>
      <w:hyperlink r:id="rId61">
        <w:r>
          <w:rPr>
            <w:rStyle w:val="Hyperlink"/>
          </w:rPr>
          <w:t xml:space="preserve">GitHub</w:t>
        </w:r>
        <w:r>
          <w:rPr>
            <w:rStyle w:val="Hyperlink"/>
          </w:rPr>
          <w:t xml:space="preserve"> </w:t>
        </w:r>
        <w:r>
          <w:rPr>
            <w:rStyle w:val="Hyperlink"/>
          </w:rPr>
          <w:t xml:space="preserve">repository</w:t>
        </w:r>
      </w:hyperlink>
      <w:r>
        <w:t xml:space="preserve">.</w:t>
      </w:r>
    </w:p>
    <w:bookmarkEnd w:id="117"/>
    <w:bookmarkStart w:id="118" w:name="transparency-statement"/>
    <w:p>
      <w:pPr>
        <w:pStyle w:val="Heading2"/>
      </w:pPr>
      <w:r>
        <w:t xml:space="preserve">8.6 Transparency Statement</w:t>
      </w:r>
    </w:p>
    <w:p>
      <w:pPr>
        <w:pStyle w:val="FirstParagraph"/>
      </w:pPr>
      <w:r>
        <w:t xml:space="preserve">The lead author, Alireza Sadeghi, affirms that this manuscript is an honest, accurate, and</w:t>
      </w:r>
      <w:r>
        <w:t xml:space="preserve"> </w:t>
      </w:r>
      <w:r>
        <w:t xml:space="preserve">transparent account of the study being reported; that no important aspects of the study have been</w:t>
      </w:r>
      <w:r>
        <w:t xml:space="preserve"> </w:t>
      </w:r>
      <w:r>
        <w:t xml:space="preserve">omitted; and that any discrepancies from the study as planned (and, if relevant, registered) have</w:t>
      </w:r>
      <w:r>
        <w:t xml:space="preserve"> </w:t>
      </w:r>
      <w:r>
        <w:t xml:space="preserve">been explained.</w:t>
      </w:r>
    </w:p>
    <w:bookmarkEnd w:id="118"/>
    <w:bookmarkStart w:id="119" w:name="availability-of-data-and-materials"/>
    <w:p>
      <w:pPr>
        <w:pStyle w:val="Heading2"/>
      </w:pPr>
      <w:r>
        <w:t xml:space="preserve">8.7 Availability of data and materials</w:t>
      </w:r>
    </w:p>
    <w:p>
      <w:pPr>
        <w:pStyle w:val="FirstParagraph"/>
      </w:pPr>
      <w:r>
        <w:t xml:space="preserve">All data are publicly available through the</w:t>
      </w:r>
      <w:r>
        <w:t xml:space="preserve"> </w:t>
      </w:r>
      <w:hyperlink r:id="rId55">
        <w:r>
          <w:rPr>
            <w:rStyle w:val="Hyperlink"/>
          </w:rPr>
          <w:t xml:space="preserve">Global Health Data Exchange</w:t>
        </w:r>
        <w:r>
          <w:rPr>
            <w:rStyle w:val="Hyperlink"/>
          </w:rPr>
          <w:t xml:space="preserve"> </w:t>
        </w:r>
        <w:r>
          <w:rPr>
            <w:rStyle w:val="Hyperlink"/>
          </w:rPr>
          <w:t xml:space="preserve">(GHDx)</w:t>
        </w:r>
      </w:hyperlink>
      <w:r>
        <w:t xml:space="preserve">. The complete analytic workflow, including cleaned datasets</w:t>
      </w:r>
      <w:r>
        <w:t xml:space="preserve"> </w:t>
      </w:r>
      <w:r>
        <w:t xml:space="preserve">and all code required to reproduce the analyses, figures, and tables presented in this manuscript,</w:t>
      </w:r>
      <w:r>
        <w:t xml:space="preserve"> </w:t>
      </w:r>
      <w:r>
        <w:t xml:space="preserve">is available in the study’s</w:t>
      </w:r>
      <w:r>
        <w:t xml:space="preserve"> </w:t>
      </w:r>
      <w:hyperlink r:id="rId61">
        <w:r>
          <w:rPr>
            <w:rStyle w:val="Hyperlink"/>
          </w:rPr>
          <w:t xml:space="preserve">GitHub repository</w:t>
        </w:r>
      </w:hyperlink>
      <w:r>
        <w:t xml:space="preserve"> </w:t>
      </w:r>
      <w:r>
        <w:t xml:space="preserve">(commit 60d599d; archived at 10.5281/zenodo.23814418). Data are provided in R’s native binary format</w:t>
      </w:r>
      <w:r>
        <w:t xml:space="preserve"> </w:t>
      </w:r>
      <w:r>
        <w:t xml:space="preserve">(RDS). Full reproducibility can be achieved by cloning the repository and rendering the project</w:t>
      </w:r>
      <w:r>
        <w:t xml:space="preserve"> </w:t>
      </w:r>
      <w:r>
        <w:t xml:space="preserve">using the supplied scripts and documentation. The manuscript and its source code are available via</w:t>
      </w:r>
      <w:r>
        <w:t xml:space="preserve"> </w:t>
      </w:r>
      <w:r>
        <w:t xml:space="preserve">the manuscript’s website:</w:t>
      </w:r>
      <w:r>
        <w:t xml:space="preserve"> </w:t>
      </w:r>
      <w:hyperlink r:id="rId52">
        <w:r>
          <w:rPr>
            <w:rStyle w:val="Hyperlink"/>
          </w:rPr>
          <w:t xml:space="preserve">www.bladder-cancer.ir</w:t>
        </w:r>
      </w:hyperlink>
    </w:p>
    <w:bookmarkEnd w:id="119"/>
    <w:bookmarkStart w:id="120" w:name="competing-interests"/>
    <w:p>
      <w:pPr>
        <w:pStyle w:val="Heading2"/>
      </w:pPr>
      <w:r>
        <w:t xml:space="preserve">8.8 Competing interests</w:t>
      </w:r>
    </w:p>
    <w:p>
      <w:pPr>
        <w:pStyle w:val="FirstParagraph"/>
      </w:pPr>
      <w:r>
        <w:t xml:space="preserve">The authors declare no conflicts of interest.</w:t>
      </w:r>
    </w:p>
    <w:bookmarkEnd w:id="120"/>
    <w:bookmarkStart w:id="121" w:name="funding"/>
    <w:p>
      <w:pPr>
        <w:pStyle w:val="Heading2"/>
      </w:pPr>
      <w:r>
        <w:t xml:space="preserve">8.9 Funding</w:t>
      </w:r>
    </w:p>
    <w:p>
      <w:pPr>
        <w:pStyle w:val="FirstParagraph"/>
      </w:pPr>
      <w:r>
        <w:t xml:space="preserve">None.</w:t>
      </w:r>
    </w:p>
    <w:bookmarkEnd w:id="121"/>
    <w:bookmarkEnd w:id="122"/>
    <w:bookmarkStart w:id="210" w:name="references"/>
    <w:p>
      <w:pPr>
        <w:pStyle w:val="Heading1"/>
      </w:pPr>
      <w:r>
        <w:t xml:space="preserve">References</w:t>
      </w:r>
    </w:p>
    <w:bookmarkStart w:id="209" w:name="refs"/>
    <w:bookmarkStart w:id="124" w:name="ref-acs2026factsfigures"/>
    <w:p>
      <w:pPr>
        <w:pStyle w:val="Bibliography"/>
      </w:pPr>
      <w:r>
        <w:t xml:space="preserve">1.</w:t>
      </w:r>
      <w:r>
        <w:t xml:space="preserve"> </w:t>
      </w:r>
      <w:r>
        <w:t xml:space="preserve">	</w:t>
      </w:r>
      <w:r>
        <w:t xml:space="preserve">American Cancer Society. Cancer facts &amp; figures 2026 [Internet]. Atlanta, GA: American Cancer Society; 2026. Available from:</w:t>
      </w:r>
      <w:r>
        <w:t xml:space="preserve"> </w:t>
      </w:r>
      <w:hyperlink r:id="rId123">
        <w:r>
          <w:rPr>
            <w:rStyle w:val="Hyperlink"/>
          </w:rPr>
          <w:t xml:space="preserve">https://www.cancer.org/research/cancer-facts-statistics/all-cancer-facts-figures/2026-cancer-facts-figures.html</w:t>
        </w:r>
      </w:hyperlink>
    </w:p>
    <w:bookmarkEnd w:id="124"/>
    <w:bookmarkStart w:id="126" w:name="ref-seer_bladder_statfacts"/>
    <w:p>
      <w:pPr>
        <w:pStyle w:val="Bibliography"/>
      </w:pPr>
      <w:r>
        <w:t xml:space="preserve">2.</w:t>
      </w:r>
      <w:r>
        <w:t xml:space="preserve"> </w:t>
      </w:r>
      <w:r>
        <w:t xml:space="preserve">	</w:t>
      </w:r>
      <w:r>
        <w:t xml:space="preserve">National Cancer Institute, Surveillance, Epidemiology, and End Results (SEER) Program. Cancer stat facts: Bladder cancer [Internet]. 2026. Available from:</w:t>
      </w:r>
      <w:r>
        <w:t xml:space="preserve"> </w:t>
      </w:r>
      <w:hyperlink r:id="rId125">
        <w:r>
          <w:rPr>
            <w:rStyle w:val="Hyperlink"/>
          </w:rPr>
          <w:t xml:space="preserve">https://seer.cancer.gov/statfacts/html/urinb.html</w:t>
        </w:r>
      </w:hyperlink>
    </w:p>
    <w:bookmarkEnd w:id="126"/>
    <w:bookmarkStart w:id="128" w:name="ref-RN22"/>
    <w:p>
      <w:pPr>
        <w:pStyle w:val="Bibliography"/>
      </w:pPr>
      <w:r>
        <w:t xml:space="preserve">3.</w:t>
      </w:r>
      <w:r>
        <w:t xml:space="preserve"> </w:t>
      </w:r>
      <w:r>
        <w:t xml:space="preserve">	</w:t>
      </w:r>
      <w:r>
        <w:t xml:space="preserve">Sung H, Ferlay J, Siegel RL, Laversanne M, Soerjomataram I, Jemal A, et al.</w:t>
      </w:r>
      <w:r>
        <w:t xml:space="preserve"> </w:t>
      </w:r>
      <w:hyperlink r:id="rId127">
        <w:r>
          <w:rPr>
            <w:rStyle w:val="Hyperlink"/>
          </w:rPr>
          <w:t xml:space="preserve">Global cancer statistics 2020: GLOBOCAN estimates of incidence and mortality worldwide for 36 cancers in 185 countries</w:t>
        </w:r>
      </w:hyperlink>
      <w:r>
        <w:t xml:space="preserve">. CA Cancer J Clin. 2021;71(3):209–49.</w:t>
      </w:r>
      <w:r>
        <w:t xml:space="preserve"> </w:t>
      </w:r>
    </w:p>
    <w:bookmarkEnd w:id="128"/>
    <w:bookmarkStart w:id="130" w:name="ref-RN3"/>
    <w:p>
      <w:pPr>
        <w:pStyle w:val="Bibliography"/>
      </w:pPr>
      <w:r>
        <w:t xml:space="preserve">4.</w:t>
      </w:r>
      <w:r>
        <w:t xml:space="preserve"> </w:t>
      </w:r>
      <w:r>
        <w:t xml:space="preserve">	</w:t>
      </w:r>
      <w:r>
        <w:t xml:space="preserve">Su X, Tao Y, Chen F, Han X, Xue L. Trends in the global, regional, and national burden of bladder cancer from 1990 to 2021: An observational study from the global burden of disease study 2021. Scientific Reports [Internet]. 2025;15(1):7655. Available from:</w:t>
      </w:r>
      <w:r>
        <w:t xml:space="preserve"> </w:t>
      </w:r>
      <w:hyperlink r:id="rId129">
        <w:r>
          <w:rPr>
            <w:rStyle w:val="Hyperlink"/>
          </w:rPr>
          <w:t xml:space="preserve">https://doi.org/10.1038/s41598-025-92033-5</w:t>
        </w:r>
      </w:hyperlink>
    </w:p>
    <w:bookmarkEnd w:id="130"/>
    <w:bookmarkStart w:id="132" w:name="ref-RN4"/>
    <w:p>
      <w:pPr>
        <w:pStyle w:val="Bibliography"/>
      </w:pPr>
      <w:r>
        <w:t xml:space="preserve">5.</w:t>
      </w:r>
      <w:r>
        <w:t xml:space="preserve"> </w:t>
      </w:r>
      <w:r>
        <w:t xml:space="preserve">	</w:t>
      </w:r>
      <w:r>
        <w:t xml:space="preserve">Mossanen M, Gore JL.</w:t>
      </w:r>
      <w:r>
        <w:t xml:space="preserve"> </w:t>
      </w:r>
      <w:hyperlink r:id="rId131">
        <w:r>
          <w:rPr>
            <w:rStyle w:val="Hyperlink"/>
          </w:rPr>
          <w:t xml:space="preserve">The burden of bladder cancer care: Direct and indirect costs</w:t>
        </w:r>
      </w:hyperlink>
      <w:r>
        <w:t xml:space="preserve">. Curr Opin Urol. 2014;24(5):487–91.</w:t>
      </w:r>
      <w:r>
        <w:t xml:space="preserve"> </w:t>
      </w:r>
    </w:p>
    <w:bookmarkEnd w:id="132"/>
    <w:bookmarkStart w:id="134" w:name="ref-RN5"/>
    <w:p>
      <w:pPr>
        <w:pStyle w:val="Bibliography"/>
      </w:pPr>
      <w:r>
        <w:t xml:space="preserve">6.</w:t>
      </w:r>
      <w:r>
        <w:t xml:space="preserve"> </w:t>
      </w:r>
      <w:r>
        <w:t xml:space="preserve">	</w:t>
      </w:r>
      <w:r>
        <w:t xml:space="preserve">Svatek RS, Hollenbeck BK, Holmäng S, Lee R, Kim SP, Stenzl A, et al.</w:t>
      </w:r>
      <w:r>
        <w:t xml:space="preserve"> </w:t>
      </w:r>
      <w:hyperlink r:id="rId133">
        <w:r>
          <w:rPr>
            <w:rStyle w:val="Hyperlink"/>
          </w:rPr>
          <w:t xml:space="preserve">The economics of bladder cancer: Costs and considerations of caring for this disease</w:t>
        </w:r>
      </w:hyperlink>
      <w:r>
        <w:t xml:space="preserve">. Eur Urol. 2014;66(2):253–62.</w:t>
      </w:r>
      <w:r>
        <w:t xml:space="preserve"> </w:t>
      </w:r>
    </w:p>
    <w:bookmarkEnd w:id="134"/>
    <w:bookmarkStart w:id="136" w:name="ref-RN6"/>
    <w:p>
      <w:pPr>
        <w:pStyle w:val="Bibliography"/>
      </w:pPr>
      <w:r>
        <w:t xml:space="preserve">7.</w:t>
      </w:r>
      <w:r>
        <w:t xml:space="preserve"> </w:t>
      </w:r>
      <w:r>
        <w:t xml:space="preserve">	</w:t>
      </w:r>
      <w:r>
        <w:t xml:space="preserve">Joyce DD, Sharma V, Williams SB. Cost-effectiveness and economic impact of bladder cancer management: An updated review of the literature. PharmacoEconomics [Internet]. 2023;41(7):751–69. Available from:</w:t>
      </w:r>
      <w:r>
        <w:t xml:space="preserve"> </w:t>
      </w:r>
      <w:hyperlink r:id="rId135">
        <w:r>
          <w:rPr>
            <w:rStyle w:val="Hyperlink"/>
          </w:rPr>
          <w:t xml:space="preserve">https://doi.org/10.1007/s40273-023-01273-8</w:t>
        </w:r>
      </w:hyperlink>
    </w:p>
    <w:bookmarkEnd w:id="136"/>
    <w:bookmarkStart w:id="138" w:name="ref-RN7"/>
    <w:p>
      <w:pPr>
        <w:pStyle w:val="Bibliography"/>
      </w:pPr>
      <w:r>
        <w:t xml:space="preserve">8.</w:t>
      </w:r>
      <w:r>
        <w:t xml:space="preserve"> </w:t>
      </w:r>
      <w:r>
        <w:t xml:space="preserve">	</w:t>
      </w:r>
      <w:r>
        <w:t xml:space="preserve">Li Ping W, Xiaonan X, Haridah A, Chuo Yew T, Hui Meng T, Yulan L. Patient- and caregiver-related factors affecting family caregiver burden of urologic cancer patients. Urologic Oncology: Seminars and Original Investigations [Internet]. 2024;42(8):245.e1–8. Available from:</w:t>
      </w:r>
      <w:r>
        <w:t xml:space="preserve"> </w:t>
      </w:r>
      <w:hyperlink r:id="rId137">
        <w:r>
          <w:rPr>
            <w:rStyle w:val="Hyperlink"/>
          </w:rPr>
          <w:t xml:space="preserve">https://www.sciencedirect.com/science/article/pii/S1078143924004204</w:t>
        </w:r>
      </w:hyperlink>
    </w:p>
    <w:bookmarkEnd w:id="138"/>
    <w:bookmarkStart w:id="140" w:name="ref-RN14"/>
    <w:p>
      <w:pPr>
        <w:pStyle w:val="Bibliography"/>
      </w:pPr>
      <w:r>
        <w:t xml:space="preserve">9.</w:t>
      </w:r>
      <w:r>
        <w:t xml:space="preserve"> </w:t>
      </w:r>
      <w:r>
        <w:t xml:space="preserve">	</w:t>
      </w:r>
      <w:r>
        <w:t xml:space="preserve">Amin RW, Stafford B, Guttmann RP.</w:t>
      </w:r>
      <w:r>
        <w:t xml:space="preserve"> </w:t>
      </w:r>
      <w:hyperlink r:id="rId139">
        <w:r>
          <w:rPr>
            <w:rStyle w:val="Hyperlink"/>
          </w:rPr>
          <w:t xml:space="preserve">A spatial study of bladder cancer mortality and incidence in the contiguous US: 2000-2014</w:t>
        </w:r>
      </w:hyperlink>
      <w:r>
        <w:t xml:space="preserve">. Sci Total Environ. 2019;670:806–13.</w:t>
      </w:r>
      <w:r>
        <w:t xml:space="preserve"> </w:t>
      </w:r>
    </w:p>
    <w:bookmarkEnd w:id="140"/>
    <w:bookmarkStart w:id="142" w:name="ref-RN15"/>
    <w:p>
      <w:pPr>
        <w:pStyle w:val="Bibliography"/>
      </w:pPr>
      <w:r>
        <w:t xml:space="preserve">10.</w:t>
      </w:r>
      <w:r>
        <w:t xml:space="preserve"> </w:t>
      </w:r>
      <w:r>
        <w:t xml:space="preserve">	</w:t>
      </w:r>
      <w:r>
        <w:t xml:space="preserve">Ghazwani Y, Alghafees M, Suheb MK, Shafqat A, Sabbah BN, Arabi TZ, et al.</w:t>
      </w:r>
      <w:r>
        <w:t xml:space="preserve"> </w:t>
      </w:r>
      <w:hyperlink r:id="rId141">
        <w:r>
          <w:rPr>
            <w:rStyle w:val="Hyperlink"/>
          </w:rPr>
          <w:t xml:space="preserve">Trends in genitourinary cancer mortality in the united states: Analysis of the CDC-WONDER database 1999-2020</w:t>
        </w:r>
      </w:hyperlink>
      <w:r>
        <w:t xml:space="preserve">. Front Public Health. 2024;12:1354663.</w:t>
      </w:r>
      <w:r>
        <w:t xml:space="preserve"> </w:t>
      </w:r>
    </w:p>
    <w:bookmarkEnd w:id="142"/>
    <w:bookmarkStart w:id="144" w:name="ref-RN16"/>
    <w:p>
      <w:pPr>
        <w:pStyle w:val="Bibliography"/>
      </w:pPr>
      <w:r>
        <w:t xml:space="preserve">11.</w:t>
      </w:r>
      <w:r>
        <w:t xml:space="preserve"> </w:t>
      </w:r>
      <w:r>
        <w:t xml:space="preserve">	</w:t>
      </w:r>
      <w:r>
        <w:t xml:space="preserve">Schafer EJ, Jemal A, Wiese D, Sung H, Kratzer TB, Islami F, et al.</w:t>
      </w:r>
      <w:r>
        <w:t xml:space="preserve"> </w:t>
      </w:r>
      <w:hyperlink r:id="rId143">
        <w:r>
          <w:rPr>
            <w:rStyle w:val="Hyperlink"/>
          </w:rPr>
          <w:t xml:space="preserve">Disparities and trends in genitourinary cancer incidence and mortality in the USA</w:t>
        </w:r>
      </w:hyperlink>
      <w:r>
        <w:t xml:space="preserve">. Eur Urol. 2023;84(1):117–26.</w:t>
      </w:r>
      <w:r>
        <w:t xml:space="preserve"> </w:t>
      </w:r>
    </w:p>
    <w:bookmarkEnd w:id="144"/>
    <w:bookmarkStart w:id="146" w:name="ref-RN17"/>
    <w:p>
      <w:pPr>
        <w:pStyle w:val="Bibliography"/>
      </w:pPr>
      <w:r>
        <w:t xml:space="preserve">12.</w:t>
      </w:r>
      <w:r>
        <w:t xml:space="preserve"> </w:t>
      </w:r>
      <w:r>
        <w:t xml:space="preserve">	</w:t>
      </w:r>
      <w:r>
        <w:t xml:space="preserve">Smith ND, Prasad SM, Patel AR, Weiner AB, Pariser JJ, Razmaria A, et al.</w:t>
      </w:r>
      <w:r>
        <w:t xml:space="preserve"> </w:t>
      </w:r>
      <w:hyperlink r:id="rId145">
        <w:r>
          <w:rPr>
            <w:rStyle w:val="Hyperlink"/>
          </w:rPr>
          <w:t xml:space="preserve">Bladder cancer mortality in the united states: A geographic and temporal analysis of socioeconomic and environmental factors</w:t>
        </w:r>
      </w:hyperlink>
      <w:r>
        <w:t xml:space="preserve">. J Urol. 2016;195(2):290–6.</w:t>
      </w:r>
      <w:r>
        <w:t xml:space="preserve"> </w:t>
      </w:r>
    </w:p>
    <w:bookmarkEnd w:id="146"/>
    <w:bookmarkStart w:id="148" w:name="ref-RN18"/>
    <w:p>
      <w:pPr>
        <w:pStyle w:val="Bibliography"/>
      </w:pPr>
      <w:r>
        <w:t xml:space="preserve">13.</w:t>
      </w:r>
      <w:r>
        <w:t xml:space="preserve"> </w:t>
      </w:r>
      <w:r>
        <w:t xml:space="preserve">	</w:t>
      </w:r>
      <w:r>
        <w:t xml:space="preserve">Prevention NCI&amp;C for DC and. State cancer profiles [Internet]. Vol. 2025. 2023. Available from:</w:t>
      </w:r>
      <w:r>
        <w:t xml:space="preserve"> </w:t>
      </w:r>
      <w:hyperlink r:id="rId147">
        <w:r>
          <w:rPr>
            <w:rStyle w:val="Hyperlink"/>
          </w:rPr>
          <w:t xml:space="preserve">https://statecancerprofiles.cancer.gov/index.html</w:t>
        </w:r>
      </w:hyperlink>
    </w:p>
    <w:bookmarkEnd w:id="148"/>
    <w:bookmarkStart w:id="150" w:name="ref-RN19"/>
    <w:p>
      <w:pPr>
        <w:pStyle w:val="Bibliography"/>
      </w:pPr>
      <w:r>
        <w:t xml:space="preserve">14.</w:t>
      </w:r>
      <w:r>
        <w:t xml:space="preserve"> </w:t>
      </w:r>
      <w:r>
        <w:t xml:space="preserve">	</w:t>
      </w:r>
      <w:r>
        <w:t xml:space="preserve">Pompa IR, Qi D, Ghosh A, Goldberg SI, Chino F, Efstathiou JA, et al.</w:t>
      </w:r>
      <w:r>
        <w:t xml:space="preserve"> </w:t>
      </w:r>
      <w:hyperlink r:id="rId149">
        <w:r>
          <w:rPr>
            <w:rStyle w:val="Hyperlink"/>
          </w:rPr>
          <w:t xml:space="preserve">Longitudinal analysis of bladder cancer-specific mortality trends in the united states</w:t>
        </w:r>
      </w:hyperlink>
      <w:r>
        <w:t xml:space="preserve">. Bladder Cancer. 2023;9(4):345–53.</w:t>
      </w:r>
      <w:r>
        <w:t xml:space="preserve"> </w:t>
      </w:r>
    </w:p>
    <w:bookmarkEnd w:id="150"/>
    <w:bookmarkStart w:id="152" w:name="ref-RN20"/>
    <w:p>
      <w:pPr>
        <w:pStyle w:val="Bibliography"/>
      </w:pPr>
      <w:r>
        <w:t xml:space="preserve">15.</w:t>
      </w:r>
      <w:r>
        <w:t xml:space="preserve"> </w:t>
      </w:r>
      <w:r>
        <w:t xml:space="preserve">	</w:t>
      </w:r>
      <w:r>
        <w:t xml:space="preserve">Hasan S, Lazarev S, Garg M, Mehta K, Press RH, Chhabra A, et al.</w:t>
      </w:r>
      <w:r>
        <w:t xml:space="preserve"> </w:t>
      </w:r>
      <w:hyperlink r:id="rId151">
        <w:r>
          <w:rPr>
            <w:rStyle w:val="Hyperlink"/>
          </w:rPr>
          <w:t xml:space="preserve">Racial inequity and other social disparities in the diagnosis and management of bladder cancer</w:t>
        </w:r>
      </w:hyperlink>
      <w:r>
        <w:t xml:space="preserve">. Cancer Med. 2023;12(1):640–50.</w:t>
      </w:r>
      <w:r>
        <w:t xml:space="preserve"> </w:t>
      </w:r>
    </w:p>
    <w:bookmarkEnd w:id="152"/>
    <w:bookmarkStart w:id="154" w:name="ref-RN23"/>
    <w:p>
      <w:pPr>
        <w:pStyle w:val="Bibliography"/>
      </w:pPr>
      <w:r>
        <w:t xml:space="preserve">16.</w:t>
      </w:r>
      <w:r>
        <w:t xml:space="preserve"> </w:t>
      </w:r>
      <w:r>
        <w:t xml:space="preserve">	</w:t>
      </w:r>
      <w:r>
        <w:t xml:space="preserve">Liu S, Yang T, Na R, Hu M, Zhang L, Fu Y, et al.</w:t>
      </w:r>
      <w:r>
        <w:t xml:space="preserve"> </w:t>
      </w:r>
      <w:hyperlink r:id="rId153">
        <w:r>
          <w:rPr>
            <w:rStyle w:val="Hyperlink"/>
          </w:rPr>
          <w:t xml:space="preserve">The impact of female gender on bladder cancer-specific death risk after radical cystectomy: A meta-analysis of 27,912 patients</w:t>
        </w:r>
      </w:hyperlink>
      <w:r>
        <w:t xml:space="preserve">. Int Urol Nephrol. 2015;47(6):951–8.</w:t>
      </w:r>
      <w:r>
        <w:t xml:space="preserve"> </w:t>
      </w:r>
    </w:p>
    <w:bookmarkEnd w:id="154"/>
    <w:bookmarkStart w:id="156" w:name="ref-ferrari2024"/>
    <w:p>
      <w:pPr>
        <w:pStyle w:val="Bibliography"/>
      </w:pPr>
      <w:r>
        <w:t xml:space="preserve">17.</w:t>
      </w:r>
      <w:r>
        <w:t xml:space="preserve"> </w:t>
      </w:r>
      <w:r>
        <w:t xml:space="preserve">	</w:t>
      </w:r>
      <w:r>
        <w:t xml:space="preserve">Ferrari AJ, Santomauro DF, Aali A, Abate YH, Abbafati C, Abbastabar H, et al.</w:t>
      </w:r>
      <w:r>
        <w:t xml:space="preserve"> Global incidence, prevalence, years lived with disability (YLDs), disability-adjusted life-years (DALYs), and healthy life expectancy (HALE) for 371 diseases and injuries in 204 countries and territories and 811 subnational locations, 1990</w:t>
      </w:r>
      <w:r>
        <w:t xml:space="preserve">2021: A systematic analysis for the global burden of disease study 2021. The Lancet [Internet]. 2024 May;403(10440):2133–61. Available from:</w:t>
      </w:r>
      <w:r>
        <w:t xml:space="preserve"> </w:t>
      </w:r>
      <w:hyperlink r:id="rId155">
        <w:r>
          <w:rPr>
            <w:rStyle w:val="Hyperlink"/>
          </w:rPr>
          <w:t xml:space="preserve">http://dx.doi.org/10.1016/S0140-6736(24)00757-8</w:t>
        </w:r>
      </w:hyperlink>
    </w:p>
    <w:bookmarkEnd w:id="156"/>
    <w:bookmarkStart w:id="158" w:name="ref-naghavi2024"/>
    <w:p>
      <w:pPr>
        <w:pStyle w:val="Bibliography"/>
      </w:pPr>
      <w:r>
        <w:t xml:space="preserve">18.</w:t>
      </w:r>
      <w:r>
        <w:t xml:space="preserve"> </w:t>
      </w:r>
      <w:r>
        <w:t xml:space="preserve">	</w:t>
      </w:r>
      <w:r>
        <w:t xml:space="preserve">Naghavi M, Ong KL, Aali A, Ababneh HS, Abate YH, Abbafati C, et al. Global burden of 288 causes of death and life expectancy decomposition in 204 countries and territories and 811 subnational locations, 1990</w:t>
      </w:r>
      <w:r>
        <w:t xml:space="preserve">2021: A systematic analysis for the global burden of disease study 2021. The Lancet [Internet]. 2024 May;403(10440):2100–32. Available from:</w:t>
      </w:r>
      <w:r>
        <w:t xml:space="preserve"> </w:t>
      </w:r>
      <w:hyperlink r:id="rId157">
        <w:r>
          <w:rPr>
            <w:rStyle w:val="Hyperlink"/>
          </w:rPr>
          <w:t xml:space="preserve">http://dx.doi.org/10.1016/s0140-6736(24)00367-2</w:t>
        </w:r>
      </w:hyperlink>
    </w:p>
    <w:bookmarkEnd w:id="158"/>
    <w:bookmarkStart w:id="160" w:name="ref-gbd2023cancer"/>
    <w:p>
      <w:pPr>
        <w:pStyle w:val="Bibliography"/>
      </w:pPr>
      <w:r>
        <w:t xml:space="preserve">19.</w:t>
      </w:r>
      <w:r>
        <w:t xml:space="preserve"> </w:t>
      </w:r>
      <w:r>
        <w:t xml:space="preserve">	</w:t>
      </w:r>
      <w:r>
        <w:t xml:space="preserve">GBD 2023 Cancer Collaborators.</w:t>
      </w:r>
      <w:r>
        <w:t xml:space="preserve"> </w:t>
      </w:r>
      <w:hyperlink r:id="rId159">
        <w:r>
          <w:rPr>
            <w:rStyle w:val="Hyperlink"/>
          </w:rPr>
          <w:t xml:space="preserve">The global, regional, and national burden of cancer, 1990–2023, with forecasts to 2050: A systematic analysis for the global burden of disease study 2023</w:t>
        </w:r>
      </w:hyperlink>
      <w:r>
        <w:t xml:space="preserve">. The Lancet. 2025;</w:t>
      </w:r>
      <w:r>
        <w:t xml:space="preserve"> </w:t>
      </w:r>
    </w:p>
    <w:bookmarkEnd w:id="160"/>
    <w:bookmarkStart w:id="162" w:name="ref-kocarnik2022cancer"/>
    <w:p>
      <w:pPr>
        <w:pStyle w:val="Bibliography"/>
      </w:pPr>
      <w:r>
        <w:t xml:space="preserve">20.</w:t>
      </w:r>
      <w:r>
        <w:t xml:space="preserve"> </w:t>
      </w:r>
      <w:r>
        <w:t xml:space="preserve">	</w:t>
      </w:r>
      <w:r>
        <w:t xml:space="preserve">Kocarnik JM et al.</w:t>
      </w:r>
      <w:r>
        <w:t xml:space="preserve"> </w:t>
      </w:r>
      <w:hyperlink r:id="rId161">
        <w:r>
          <w:rPr>
            <w:rStyle w:val="Hyperlink"/>
          </w:rPr>
          <w:t xml:space="preserve">Cancer incidence, mortality, years of life lost, years lived with disability, and disability-adjusted life years for 29 cancer groups from 2010 to 2019: A systematic analysis for the global burden of disease study 2019</w:t>
        </w:r>
      </w:hyperlink>
      <w:r>
        <w:t xml:space="preserve">. JAMA Oncology. 2022;8(3):420–44.</w:t>
      </w:r>
      <w:r>
        <w:t xml:space="preserve"> </w:t>
      </w:r>
    </w:p>
    <w:bookmarkEnd w:id="162"/>
    <w:bookmarkStart w:id="164" w:name="X4857e18fa263add03d367ee42aaf3b3ec4487f5"/>
    <w:p>
      <w:pPr>
        <w:pStyle w:val="Bibliography"/>
      </w:pPr>
      <w:r>
        <w:t xml:space="preserve">21.</w:t>
      </w:r>
      <w:r>
        <w:t xml:space="preserve"> </w:t>
      </w:r>
      <w:r>
        <w:t xml:space="preserve">	</w:t>
      </w:r>
      <w:r>
        <w:t xml:space="preserve">Institute For Health Metrics And Evaluation. Global burden of disease study 2021 (GBD 2021) socio-demographic index (SDI) 1950</w:t>
      </w:r>
      <w:r>
        <w:t xml:space="preserve">2021 [Internet]. Institute for Health Metrics; Evaluation; 2024. Available from:</w:t>
      </w:r>
      <w:r>
        <w:t xml:space="preserve"> </w:t>
      </w:r>
      <w:hyperlink r:id="rId163">
        <w:r>
          <w:rPr>
            <w:rStyle w:val="Hyperlink"/>
          </w:rPr>
          <w:t xml:space="preserve">https://ghdx.healthdata.org/node/548352</w:t>
        </w:r>
      </w:hyperlink>
    </w:p>
    <w:bookmarkEnd w:id="164"/>
    <w:bookmarkStart w:id="166" w:name="ref-vos2020"/>
    <w:p>
      <w:pPr>
        <w:pStyle w:val="Bibliography"/>
      </w:pPr>
      <w:r>
        <w:t xml:space="preserve">22.</w:t>
      </w:r>
      <w:r>
        <w:t xml:space="preserve"> </w:t>
      </w:r>
      <w:r>
        <w:t xml:space="preserve">	</w:t>
      </w:r>
      <w:r>
        <w:t xml:space="preserve">Vos T, Lim SS, Abbafati C, Abbas KM, Abbasi M, Abbasifard M, et al. Global burden of 369 diseases and injuries in 204 countries and territories, 1990</w:t>
      </w:r>
      <w:r>
        <w:t xml:space="preserve">2019: A systematic analysis for the global burden of disease study 2019. The Lancet [Internet]. 2020 Oct;396(10258):1204–22. Available from:</w:t>
      </w:r>
      <w:r>
        <w:t xml:space="preserve"> </w:t>
      </w:r>
      <w:hyperlink r:id="rId165">
        <w:r>
          <w:rPr>
            <w:rStyle w:val="Hyperlink"/>
          </w:rPr>
          <w:t xml:space="preserve">http://dx.doi.org/10.1016/S0140-6736(20)30925-9</w:t>
        </w:r>
      </w:hyperlink>
    </w:p>
    <w:bookmarkEnd w:id="166"/>
    <w:bookmarkStart w:id="167" w:name="ref-altman2003statistics"/>
    <w:p>
      <w:pPr>
        <w:pStyle w:val="Bibliography"/>
      </w:pPr>
      <w:r>
        <w:t xml:space="preserve">23.</w:t>
      </w:r>
      <w:r>
        <w:t xml:space="preserve"> </w:t>
      </w:r>
      <w:r>
        <w:t xml:space="preserve">	</w:t>
      </w:r>
      <w:r>
        <w:t xml:space="preserve">Altman DG, Bland JM. Statistics notes: Interaction revisited: The difference between two estimates. BMJ. 2003;326(7382):219.</w:t>
      </w:r>
      <w:r>
        <w:t xml:space="preserve"> </w:t>
      </w:r>
    </w:p>
    <w:bookmarkEnd w:id="167"/>
    <w:bookmarkStart w:id="168" w:name="ref-rothman2008modern"/>
    <w:p>
      <w:pPr>
        <w:pStyle w:val="Bibliography"/>
      </w:pPr>
      <w:r>
        <w:t xml:space="preserve">24.</w:t>
      </w:r>
      <w:r>
        <w:t xml:space="preserve"> </w:t>
      </w:r>
      <w:r>
        <w:t xml:space="preserve">	</w:t>
      </w:r>
      <w:r>
        <w:t xml:space="preserve">Rothman KJ, Greenland S, Lash TL. Modern epidemiology. Lippincott Williams &amp; Wilkins; 2008.</w:t>
      </w:r>
      <w:r>
        <w:t xml:space="preserve"> </w:t>
      </w:r>
    </w:p>
    <w:bookmarkEnd w:id="168"/>
    <w:bookmarkStart w:id="170" w:name="ref-stevens2016gather"/>
    <w:p>
      <w:pPr>
        <w:pStyle w:val="Bibliography"/>
      </w:pPr>
      <w:r>
        <w:t xml:space="preserve">25.</w:t>
      </w:r>
      <w:r>
        <w:t xml:space="preserve"> </w:t>
      </w:r>
      <w:r>
        <w:t xml:space="preserve">	</w:t>
      </w:r>
      <w:r>
        <w:t xml:space="preserve">Stevens GA et al.</w:t>
      </w:r>
      <w:r>
        <w:t xml:space="preserve"> </w:t>
      </w:r>
      <w:hyperlink r:id="rId169">
        <w:r>
          <w:rPr>
            <w:rStyle w:val="Hyperlink"/>
          </w:rPr>
          <w:t xml:space="preserve">Guidelines for accurate and transparent health estimates reporting: The</w:t>
        </w:r>
        <w:r>
          <w:rPr>
            <w:rStyle w:val="Hyperlink"/>
          </w:rPr>
          <w:t xml:space="preserve"> </w:t>
        </w:r>
        <w:r>
          <w:rPr>
            <w:rStyle w:val="Hyperlink"/>
          </w:rPr>
          <w:t xml:space="preserve">GATHER</w:t>
        </w:r>
        <w:r>
          <w:rPr>
            <w:rStyle w:val="Hyperlink"/>
          </w:rPr>
          <w:t xml:space="preserve"> </w:t>
        </w:r>
        <w:r>
          <w:rPr>
            <w:rStyle w:val="Hyperlink"/>
          </w:rPr>
          <w:t xml:space="preserve">statement</w:t>
        </w:r>
      </w:hyperlink>
      <w:r>
        <w:t xml:space="preserve">. The Lancet. 2016;388(10062):e19–23.</w:t>
      </w:r>
      <w:r>
        <w:t xml:space="preserve"> </w:t>
      </w:r>
    </w:p>
    <w:bookmarkEnd w:id="170"/>
    <w:bookmarkStart w:id="172" w:name="ref-zenodo_gbd"/>
    <w:p>
      <w:pPr>
        <w:pStyle w:val="Bibliography"/>
      </w:pPr>
      <w:r>
        <w:t xml:space="preserve">26.</w:t>
      </w:r>
      <w:r>
        <w:t xml:space="preserve"> </w:t>
      </w:r>
      <w:r>
        <w:t xml:space="preserve">	</w:t>
      </w:r>
      <w:r>
        <w:t xml:space="preserve">Sadeghi A. Data and code supporting "estimated burden of bladder cancer in the united states and its states, 1990–2021: A descriptive analysis of the global burden of disease (GBD) study 2021" [Internet]. Zenodo; 2026. Available from:</w:t>
      </w:r>
      <w:r>
        <w:t xml:space="preserve"> </w:t>
      </w:r>
      <w:hyperlink r:id="rId171">
        <w:r>
          <w:rPr>
            <w:rStyle w:val="Hyperlink"/>
          </w:rPr>
          <w:t xml:space="preserve">https://doi.org/10.5281/zenodo.23814418</w:t>
        </w:r>
      </w:hyperlink>
    </w:p>
    <w:bookmarkEnd w:id="172"/>
    <w:bookmarkStart w:id="174" w:name="ref-RN25"/>
    <w:p>
      <w:pPr>
        <w:pStyle w:val="Bibliography"/>
      </w:pPr>
      <w:r>
        <w:t xml:space="preserve">27.</w:t>
      </w:r>
      <w:r>
        <w:t xml:space="preserve"> </w:t>
      </w:r>
      <w:r>
        <w:t xml:space="preserve">	</w:t>
      </w:r>
      <w:r>
        <w:t xml:space="preserve">Bruce LJ, Jeffrey SM, Yun Z, Ted AS, Alon ZW, Brent KH. Disparities in bladder cancer. Urologic Oncology: Seminars and Original Investigations [Internet]. 2012;30(1):81–8. Available from:</w:t>
      </w:r>
      <w:r>
        <w:t xml:space="preserve"> </w:t>
      </w:r>
      <w:hyperlink r:id="rId173">
        <w:r>
          <w:rPr>
            <w:rStyle w:val="Hyperlink"/>
          </w:rPr>
          <w:t xml:space="preserve">https://www.sciencedirect.com/science/article/pii/S1078143911002808</w:t>
        </w:r>
      </w:hyperlink>
    </w:p>
    <w:bookmarkEnd w:id="174"/>
    <w:bookmarkStart w:id="176" w:name="ref-RN26"/>
    <w:p>
      <w:pPr>
        <w:pStyle w:val="Bibliography"/>
      </w:pPr>
      <w:r>
        <w:t xml:space="preserve">28.</w:t>
      </w:r>
      <w:r>
        <w:t xml:space="preserve"> </w:t>
      </w:r>
      <w:r>
        <w:t xml:space="preserve">	</w:t>
      </w:r>
      <w:r>
        <w:t xml:space="preserve">Wong MCS, Fung FDH, Leung C, Cheung WWL, Goggins WB, Ng CF. The global epidemiology of bladder cancer: A joinpoint regression analysis of its incidence and mortality trends and projection. Scientific Reports [Internet]. 2018;8(1):1129. Available from:</w:t>
      </w:r>
      <w:r>
        <w:t xml:space="preserve"> </w:t>
      </w:r>
      <w:hyperlink r:id="rId175">
        <w:r>
          <w:rPr>
            <w:rStyle w:val="Hyperlink"/>
          </w:rPr>
          <w:t xml:space="preserve">https://doi.org/10.1038/s41598-018-19199-z</w:t>
        </w:r>
      </w:hyperlink>
    </w:p>
    <w:bookmarkEnd w:id="176"/>
    <w:bookmarkStart w:id="178" w:name="ref-RN27"/>
    <w:p>
      <w:pPr>
        <w:pStyle w:val="Bibliography"/>
      </w:pPr>
      <w:r>
        <w:t xml:space="preserve">29.</w:t>
      </w:r>
      <w:r>
        <w:t xml:space="preserve"> </w:t>
      </w:r>
      <w:r>
        <w:t xml:space="preserve">	</w:t>
      </w:r>
      <w:r>
        <w:t xml:space="preserve">Zi H, Liu MY, Luo LS, Huang Q, Luo PC, Luan HH, et al. Global burden of benign prostatic hyperplasia, urinary tract infections, urolithiasis, bladder cancer, kidney cancer, and prostate cancer from 1990 to 2021. Military Medical Research [Internet]. 2024;11(1):64. Available from:</w:t>
      </w:r>
      <w:r>
        <w:t xml:space="preserve"> </w:t>
      </w:r>
      <w:hyperlink r:id="rId177">
        <w:r>
          <w:rPr>
            <w:rStyle w:val="Hyperlink"/>
          </w:rPr>
          <w:t xml:space="preserve">https://doi.org/10.1186/s40779-024-00569-w</w:t>
        </w:r>
      </w:hyperlink>
    </w:p>
    <w:bookmarkEnd w:id="178"/>
    <w:bookmarkStart w:id="180" w:name="ref-census2023dhc"/>
    <w:p>
      <w:pPr>
        <w:pStyle w:val="Bibliography"/>
      </w:pPr>
      <w:r>
        <w:t xml:space="preserve">30.</w:t>
      </w:r>
      <w:r>
        <w:t xml:space="preserve"> </w:t>
      </w:r>
      <w:r>
        <w:t xml:space="preserve">	</w:t>
      </w:r>
      <w:r>
        <w:t xml:space="preserve">U.S. Census Bureau. Census bureau releases new 2020 census data on age, sex, race, hispanic origin, households and housing [Internet]. 2023. Available from:</w:t>
      </w:r>
      <w:r>
        <w:t xml:space="preserve"> </w:t>
      </w:r>
      <w:hyperlink r:id="rId179">
        <w:r>
          <w:rPr>
            <w:rStyle w:val="Hyperlink"/>
          </w:rPr>
          <w:t xml:space="preserve">https://www.census.gov/newsroom/press-releases/2023/2020-census-demographic-profile-and-dhc.html</w:t>
        </w:r>
      </w:hyperlink>
    </w:p>
    <w:bookmarkEnd w:id="180"/>
    <w:bookmarkStart w:id="182" w:name="ref-RN32"/>
    <w:p>
      <w:pPr>
        <w:pStyle w:val="Bibliography"/>
      </w:pPr>
      <w:r>
        <w:t xml:space="preserve">31.</w:t>
      </w:r>
      <w:r>
        <w:t xml:space="preserve"> </w:t>
      </w:r>
      <w:r>
        <w:t xml:space="preserve">	</w:t>
      </w:r>
      <w:r>
        <w:t xml:space="preserve">Shariat SF, Milowsky M, Droller MJ.</w:t>
      </w:r>
      <w:r>
        <w:t xml:space="preserve"> </w:t>
      </w:r>
      <w:hyperlink r:id="rId181">
        <w:r>
          <w:rPr>
            <w:rStyle w:val="Hyperlink"/>
          </w:rPr>
          <w:t xml:space="preserve">Bladder cancer in the elderly</w:t>
        </w:r>
      </w:hyperlink>
      <w:r>
        <w:t xml:space="preserve">. Urol Oncol. 2009;27(6):653–67.</w:t>
      </w:r>
      <w:r>
        <w:t xml:space="preserve"> </w:t>
      </w:r>
    </w:p>
    <w:bookmarkEnd w:id="182"/>
    <w:bookmarkStart w:id="184" w:name="ref-RN33"/>
    <w:p>
      <w:pPr>
        <w:pStyle w:val="Bibliography"/>
      </w:pPr>
      <w:r>
        <w:t xml:space="preserve">32.</w:t>
      </w:r>
      <w:r>
        <w:t xml:space="preserve"> </w:t>
      </w:r>
      <w:r>
        <w:t xml:space="preserve">	</w:t>
      </w:r>
      <w:r>
        <w:t xml:space="preserve">Cohn JA, Vekhter B, Lyttle C, Steinberg GD, Large MC.</w:t>
      </w:r>
      <w:r>
        <w:t xml:space="preserve"> </w:t>
      </w:r>
      <w:hyperlink r:id="rId183">
        <w:r>
          <w:rPr>
            <w:rStyle w:val="Hyperlink"/>
          </w:rPr>
          <w:t xml:space="preserve">Sex disparities in diagnosis of bladder cancer after initial presentation with hematuria: A nationwide claims-based investigation</w:t>
        </w:r>
      </w:hyperlink>
      <w:r>
        <w:t xml:space="preserve">. Cancer. 2014;120(4):555–61.</w:t>
      </w:r>
      <w:r>
        <w:t xml:space="preserve"> </w:t>
      </w:r>
    </w:p>
    <w:bookmarkEnd w:id="184"/>
    <w:bookmarkStart w:id="186" w:name="ref-RN21"/>
    <w:p>
      <w:pPr>
        <w:pStyle w:val="Bibliography"/>
      </w:pPr>
      <w:r>
        <w:t xml:space="preserve">33.</w:t>
      </w:r>
      <w:r>
        <w:t xml:space="preserve"> </w:t>
      </w:r>
      <w:r>
        <w:t xml:space="preserve">	</w:t>
      </w:r>
      <w:r>
        <w:t xml:space="preserve">Toren P, Wilkins A, Patel K, Burley A, Gris T, Kockelbergh R, et al.</w:t>
      </w:r>
      <w:r>
        <w:t xml:space="preserve"> </w:t>
      </w:r>
      <w:hyperlink r:id="rId185">
        <w:r>
          <w:rPr>
            <w:rStyle w:val="Hyperlink"/>
          </w:rPr>
          <w:t xml:space="preserve">The sex gap in bladder cancer survival - a missing link in bladder cancer care?</w:t>
        </w:r>
      </w:hyperlink>
      <w:r>
        <w:t xml:space="preserve"> Nat Rev Urol. 2024;21(3):181–92.</w:t>
      </w:r>
      <w:r>
        <w:t xml:space="preserve"> </w:t>
      </w:r>
    </w:p>
    <w:bookmarkEnd w:id="186"/>
    <w:bookmarkStart w:id="188" w:name="ref-RN34"/>
    <w:p>
      <w:pPr>
        <w:pStyle w:val="Bibliography"/>
      </w:pPr>
      <w:r>
        <w:t xml:space="preserve">34.</w:t>
      </w:r>
      <w:r>
        <w:t xml:space="preserve"> </w:t>
      </w:r>
      <w:r>
        <w:t xml:space="preserve">	</w:t>
      </w:r>
      <w:r>
        <w:t xml:space="preserve">Ghandour R, Freifeld Y, Singla N, Lotan Y.</w:t>
      </w:r>
      <w:r>
        <w:t xml:space="preserve"> </w:t>
      </w:r>
      <w:hyperlink r:id="rId187">
        <w:r>
          <w:rPr>
            <w:rStyle w:val="Hyperlink"/>
          </w:rPr>
          <w:t xml:space="preserve">Evaluation of hematuria in a large public health care system</w:t>
        </w:r>
      </w:hyperlink>
      <w:r>
        <w:t xml:space="preserve">. Bladder Cancer. 2019;5(2):119–29.</w:t>
      </w:r>
      <w:r>
        <w:t xml:space="preserve"> </w:t>
      </w:r>
    </w:p>
    <w:bookmarkEnd w:id="188"/>
    <w:bookmarkStart w:id="190" w:name="ref-RN36"/>
    <w:p>
      <w:pPr>
        <w:pStyle w:val="Bibliography"/>
      </w:pPr>
      <w:r>
        <w:t xml:space="preserve">35.</w:t>
      </w:r>
      <w:r>
        <w:t xml:space="preserve"> </w:t>
      </w:r>
      <w:r>
        <w:t xml:space="preserve">	</w:t>
      </w:r>
      <w:r>
        <w:t xml:space="preserve">Doshi B, Athans SR, Woloszynska A. Biological differences underlying sex and gender disparities in bladder cancer: Current synopsis and future directions. Oncogenesis [Internet]. 2023;12(1):44. Available from:</w:t>
      </w:r>
      <w:r>
        <w:t xml:space="preserve"> </w:t>
      </w:r>
      <w:hyperlink r:id="rId189">
        <w:r>
          <w:rPr>
            <w:rStyle w:val="Hyperlink"/>
          </w:rPr>
          <w:t xml:space="preserve">https://doi.org/10.1038/s41389-023-00489-9</w:t>
        </w:r>
      </w:hyperlink>
    </w:p>
    <w:bookmarkEnd w:id="190"/>
    <w:bookmarkStart w:id="192" w:name="ref-RN42"/>
    <w:p>
      <w:pPr>
        <w:pStyle w:val="Bibliography"/>
      </w:pPr>
      <w:r>
        <w:t xml:space="preserve">36.</w:t>
      </w:r>
      <w:r>
        <w:t xml:space="preserve"> </w:t>
      </w:r>
      <w:r>
        <w:t xml:space="preserve">	</w:t>
      </w:r>
      <w:r>
        <w:t xml:space="preserve">Javeid J, Akhtar M, Ahmed L, Hassan W, Ikram M, Iqbal R, et al.</w:t>
      </w:r>
      <w:r>
        <w:t xml:space="preserve"> </w:t>
      </w:r>
      <w:hyperlink r:id="rId191">
        <w:r>
          <w:rPr>
            <w:rStyle w:val="Hyperlink"/>
          </w:rPr>
          <w:t xml:space="preserve">Bladder cancer mortality among smokers: Trends and disparities in u.s. Adults (1999–2023).</w:t>
        </w:r>
      </w:hyperlink>
      <w:r>
        <w:t xml:space="preserve"> Journal of Clinical Oncology. 2025;43.</w:t>
      </w:r>
      <w:r>
        <w:t xml:space="preserve"> </w:t>
      </w:r>
    </w:p>
    <w:bookmarkEnd w:id="192"/>
    <w:bookmarkStart w:id="194" w:name="ref-RN12"/>
    <w:p>
      <w:pPr>
        <w:pStyle w:val="Bibliography"/>
      </w:pPr>
      <w:r>
        <w:t xml:space="preserve">37.</w:t>
      </w:r>
      <w:r>
        <w:t xml:space="preserve"> </w:t>
      </w:r>
      <w:r>
        <w:t xml:space="preserve">	</w:t>
      </w:r>
      <w:r>
        <w:t xml:space="preserve">Baris D, Waddell R, Beane Freeman LE, Schwenn M, Colt JS, Ayotte JD, et al.</w:t>
      </w:r>
      <w:r>
        <w:t xml:space="preserve"> </w:t>
      </w:r>
      <w:hyperlink r:id="rId193">
        <w:r>
          <w:rPr>
            <w:rStyle w:val="Hyperlink"/>
          </w:rPr>
          <w:t xml:space="preserve">Elevated bladder cancer in northern new england: The role of drinking water and arsenic</w:t>
        </w:r>
      </w:hyperlink>
      <w:r>
        <w:t xml:space="preserve">. J Natl Cancer Inst. 2016;108(9).</w:t>
      </w:r>
      <w:r>
        <w:t xml:space="preserve"> </w:t>
      </w:r>
    </w:p>
    <w:bookmarkEnd w:id="194"/>
    <w:bookmarkStart w:id="196" w:name="ref-RN13"/>
    <w:p>
      <w:pPr>
        <w:pStyle w:val="Bibliography"/>
      </w:pPr>
      <w:r>
        <w:t xml:space="preserve">38.</w:t>
      </w:r>
      <w:r>
        <w:t xml:space="preserve"> </w:t>
      </w:r>
      <w:r>
        <w:t xml:space="preserve">	</w:t>
      </w:r>
      <w:r>
        <w:t xml:space="preserve">Beane Freeman LE, Cantor KP, Baris D, Nuckols JR, Johnson A, Colt JS, et al.</w:t>
      </w:r>
      <w:r>
        <w:t xml:space="preserve"> </w:t>
      </w:r>
      <w:hyperlink r:id="rId195">
        <w:r>
          <w:rPr>
            <w:rStyle w:val="Hyperlink"/>
          </w:rPr>
          <w:t xml:space="preserve">Bladder cancer and water disinfection by-product exposures through multiple routes: A population-based case-control study (new england, USA)</w:t>
        </w:r>
      </w:hyperlink>
      <w:r>
        <w:t xml:space="preserve">. Environ Health Perspect. 2017;125(6):067010.</w:t>
      </w:r>
      <w:r>
        <w:t xml:space="preserve"> </w:t>
      </w:r>
    </w:p>
    <w:bookmarkEnd w:id="196"/>
    <w:bookmarkStart w:id="198" w:name="ref-RN43"/>
    <w:p>
      <w:pPr>
        <w:pStyle w:val="Bibliography"/>
      </w:pPr>
      <w:r>
        <w:t xml:space="preserve">39.</w:t>
      </w:r>
      <w:r>
        <w:t xml:space="preserve"> </w:t>
      </w:r>
      <w:r>
        <w:t xml:space="preserve">	</w:t>
      </w:r>
      <w:r>
        <w:t xml:space="preserve">Lortet-Tieulent J, Goding Sauer A, Siegel RL, Miller KD, Islami F, Fedewa SA, et al.</w:t>
      </w:r>
      <w:r>
        <w:t xml:space="preserve"> </w:t>
      </w:r>
      <w:hyperlink r:id="rId197">
        <w:r>
          <w:rPr>
            <w:rStyle w:val="Hyperlink"/>
          </w:rPr>
          <w:t xml:space="preserve">State-level cancer mortality attributable to cigarette smoking in the united states</w:t>
        </w:r>
      </w:hyperlink>
      <w:r>
        <w:t xml:space="preserve">. JAMA Intern Med. 2016;176(12):1792–8.</w:t>
      </w:r>
      <w:r>
        <w:t xml:space="preserve"> </w:t>
      </w:r>
    </w:p>
    <w:bookmarkEnd w:id="198"/>
    <w:bookmarkStart w:id="200" w:name="ref-RN44"/>
    <w:p>
      <w:pPr>
        <w:pStyle w:val="Bibliography"/>
      </w:pPr>
      <w:r>
        <w:t xml:space="preserve">40.</w:t>
      </w:r>
      <w:r>
        <w:t xml:space="preserve"> </w:t>
      </w:r>
      <w:r>
        <w:t xml:space="preserve">	</w:t>
      </w:r>
      <w:r>
        <w:t xml:space="preserve">Deuker M, Stolzenbach LF, Collà Ruvolo C, Nocera L, Tian Z, Roos FC, et al.</w:t>
      </w:r>
      <w:r>
        <w:t xml:space="preserve"> </w:t>
      </w:r>
      <w:hyperlink r:id="rId199">
        <w:r>
          <w:rPr>
            <w:rStyle w:val="Hyperlink"/>
          </w:rPr>
          <w:t xml:space="preserve">Bladder cancer stage and mortality: Urban vs. Rural residency</w:t>
        </w:r>
      </w:hyperlink>
      <w:r>
        <w:t xml:space="preserve">. Cancer Causes Control. 2021;32(2):139–45.</w:t>
      </w:r>
      <w:r>
        <w:t xml:space="preserve"> </w:t>
      </w:r>
    </w:p>
    <w:bookmarkEnd w:id="200"/>
    <w:bookmarkStart w:id="202" w:name="ref-RN45"/>
    <w:p>
      <w:pPr>
        <w:pStyle w:val="Bibliography"/>
      </w:pPr>
      <w:r>
        <w:t xml:space="preserve">41.</w:t>
      </w:r>
      <w:r>
        <w:t xml:space="preserve"> </w:t>
      </w:r>
      <w:r>
        <w:t xml:space="preserve">	</w:t>
      </w:r>
      <w:r>
        <w:t xml:space="preserve">Dursun F, Elshabrawy A, Wang H, Kaushik D, Liss MA, Svatek RS, et al.</w:t>
      </w:r>
      <w:r>
        <w:t xml:space="preserve"> </w:t>
      </w:r>
      <w:hyperlink r:id="rId201">
        <w:r>
          <w:rPr>
            <w:rStyle w:val="Hyperlink"/>
          </w:rPr>
          <w:t xml:space="preserve">Impact of rural residence on the presentation, management and survival of patients with non-metastatic muscle-invasive bladder carcinoma</w:t>
        </w:r>
      </w:hyperlink>
      <w:r>
        <w:t xml:space="preserve">. Investig Clin Urol. 2023;64(6):561–71.</w:t>
      </w:r>
      <w:r>
        <w:t xml:space="preserve"> </w:t>
      </w:r>
    </w:p>
    <w:bookmarkEnd w:id="202"/>
    <w:bookmarkStart w:id="204" w:name="ref-RN46"/>
    <w:p>
      <w:pPr>
        <w:pStyle w:val="Bibliography"/>
      </w:pPr>
      <w:r>
        <w:t xml:space="preserve">42.</w:t>
      </w:r>
      <w:r>
        <w:t xml:space="preserve"> </w:t>
      </w:r>
      <w:r>
        <w:t xml:space="preserve">	</w:t>
      </w:r>
      <w:r>
        <w:t xml:space="preserve">Ryan S, Serrell EC, Karabon P, Mills G, Hansen M, Hayn M, et al.</w:t>
      </w:r>
      <w:r>
        <w:t xml:space="preserve"> </w:t>
      </w:r>
      <w:hyperlink r:id="rId203">
        <w:r>
          <w:rPr>
            <w:rStyle w:val="Hyperlink"/>
          </w:rPr>
          <w:t xml:space="preserve">The association between mortality and distance to treatment facility in patients with muscle invasive bladder cancer</w:t>
        </w:r>
      </w:hyperlink>
      <w:r>
        <w:t xml:space="preserve">. J Urol. 2018;199(2):424–9.</w:t>
      </w:r>
      <w:r>
        <w:t xml:space="preserve"> </w:t>
      </w:r>
    </w:p>
    <w:bookmarkEnd w:id="204"/>
    <w:bookmarkStart w:id="206" w:name="ref-RN47"/>
    <w:p>
      <w:pPr>
        <w:pStyle w:val="Bibliography"/>
      </w:pPr>
      <w:r>
        <w:t xml:space="preserve">43.</w:t>
      </w:r>
      <w:r>
        <w:t xml:space="preserve"> </w:t>
      </w:r>
      <w:r>
        <w:t xml:space="preserve">	</w:t>
      </w:r>
      <w:r>
        <w:t xml:space="preserve">Hung P, Deng S, Zahnd WE, Adams SA, Olatosi B, Crouch EL, et al.</w:t>
      </w:r>
      <w:r>
        <w:t xml:space="preserve"> </w:t>
      </w:r>
      <w:hyperlink r:id="rId205">
        <w:r>
          <w:rPr>
            <w:rStyle w:val="Hyperlink"/>
          </w:rPr>
          <w:t xml:space="preserve">Geographic disparities in residential proximity to colorectal and cervical cancer care providers</w:t>
        </w:r>
      </w:hyperlink>
      <w:r>
        <w:t xml:space="preserve">. Cancer. 2020;126(5):1068–76.</w:t>
      </w:r>
      <w:r>
        <w:t xml:space="preserve"> </w:t>
      </w:r>
    </w:p>
    <w:bookmarkEnd w:id="206"/>
    <w:bookmarkStart w:id="208" w:name="ref-RN49"/>
    <w:p>
      <w:pPr>
        <w:pStyle w:val="Bibliography"/>
      </w:pPr>
      <w:r>
        <w:t xml:space="preserve">44.</w:t>
      </w:r>
      <w:r>
        <w:t xml:space="preserve"> </w:t>
      </w:r>
      <w:r>
        <w:t xml:space="preserve">	</w:t>
      </w:r>
      <w:r>
        <w:t xml:space="preserve">Wang Y, Chang Q, Li Y.</w:t>
      </w:r>
      <w:r>
        <w:t xml:space="preserve"> </w:t>
      </w:r>
      <w:hyperlink r:id="rId207">
        <w:r>
          <w:rPr>
            <w:rStyle w:val="Hyperlink"/>
          </w:rPr>
          <w:t xml:space="preserve">Racial differences in urinary bladder cancer in the united states</w:t>
        </w:r>
      </w:hyperlink>
      <w:r>
        <w:t xml:space="preserve">. Sci Rep. 2018;8(1):12521.</w:t>
      </w:r>
      <w:r>
        <w:t xml:space="preserve"> </w:t>
      </w:r>
    </w:p>
    <w:bookmarkEnd w:id="208"/>
    <w:bookmarkEnd w:id="209"/>
    <w:bookmarkEnd w:id="210"/>
    <w:sectPr>
      <w:type w:val="nextPage"/>
      <w:pgSz w:h="15840" w:w="12240"/>
      <w:pgMar w:bottom="1440" w:footer="0" w:gutter="0" w:header="0" w:left="1080" w:right="1080" w:top="1440"/>
      <w:lnNumType w:countBy="1" w:distance="283" w:restart="continuous"/>
      <w:pgNumType w:fmt="decimal"/>
      <w:formProt w:val="false"/>
      <w:textDirection w:val="lrTb"/>
      <w:docGrid w:charSpace="0" w:linePitch="381"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roman"/>
    <w:pitch w:val="variable"/>
  </w:font>
  <w:font w:name="Calibri">
    <w:charset w:val="01"/>
    <w:family w:val="roman"/>
    <w:pitch w:val="variable"/>
  </w:font>
  <w:font w:name="Liberation Sans">
    <w:altName w:val="Arial"/>
    <w:charset w:val="01"/>
    <w:family w:val="swiss"/>
    <w:pitch w:val="variable"/>
  </w:font>
  <w:font w:name="Aptos Display">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numFmt w:val="bullet"/>
      <w:lvlText w:val=""/>
      <w:lvlJc w:val="left"/>
      <w:pPr>
        <w:tabs>
          <w:tab w:pos="0" w:val="num"/>
        </w:tabs>
        <w:ind w:hanging="360" w:left="720"/>
      </w:pPr>
      <w:rPr>
        <w:rFonts w:ascii="Symbol" w:cs="Symbol" w:hAnsi="Symbol" w:hint="default"/>
      </w:rPr>
    </w:lvl>
    <w:lvl w:ilvl="1">
      <w:start w:val="0"/>
      <w:numFmt w:val="bullet"/>
      <w:lvlText w:val="o"/>
      <w:lvlJc w:val="left"/>
      <w:pPr>
        <w:tabs>
          <w:tab w:pos="0" w:val="num"/>
        </w:tabs>
        <w:ind w:hanging="360" w:left="1440"/>
      </w:pPr>
      <w:rPr>
        <w:rFonts w:ascii="Courier New" w:cs="Courier New" w:hAnsi="Courier New" w:hint="default"/>
      </w:rPr>
    </w:lvl>
    <w:lvl w:ilvl="2">
      <w:start w:val="0"/>
      <w:numFmt w:val="bullet"/>
      <w:lvlText w:val=""/>
      <w:lvlJc w:val="left"/>
      <w:pPr>
        <w:tabs>
          <w:tab w:pos="0" w:val="num"/>
        </w:tabs>
        <w:ind w:hanging="360" w:left="2160"/>
      </w:pPr>
      <w:rPr>
        <w:rFonts w:ascii="Wingdings" w:cs="Wingdings" w:hAnsi="Wingdings" w:hint="default"/>
      </w:rPr>
    </w:lvl>
    <w:lvl w:ilvl="3">
      <w:start w:val="0"/>
      <w:numFmt w:val="bullet"/>
      <w:lvlText w:val=""/>
      <w:lvlJc w:val="left"/>
      <w:pPr>
        <w:tabs>
          <w:tab w:pos="0" w:val="num"/>
        </w:tabs>
        <w:ind w:hanging="360" w:left="2880"/>
      </w:pPr>
      <w:rPr>
        <w:rFonts w:ascii="Symbol" w:cs="Symbol" w:hAnsi="Symbol" w:hint="default"/>
      </w:rPr>
    </w:lvl>
    <w:lvl w:ilvl="4">
      <w:start w:val="0"/>
      <w:numFmt w:val="bullet"/>
      <w:lvlText w:val="o"/>
      <w:lvlJc w:val="left"/>
      <w:pPr>
        <w:tabs>
          <w:tab w:pos="0" w:val="num"/>
        </w:tabs>
        <w:ind w:hanging="360" w:left="3600"/>
      </w:pPr>
      <w:rPr>
        <w:rFonts w:ascii="Courier New" w:cs="Courier New" w:hAnsi="Courier New" w:hint="default"/>
      </w:rPr>
    </w:lvl>
    <w:lvl w:ilvl="5">
      <w:start w:val="0"/>
      <w:numFmt w:val="bullet"/>
      <w:lvlText w:val=""/>
      <w:lvlJc w:val="left"/>
      <w:pPr>
        <w:tabs>
          <w:tab w:pos="0" w:val="num"/>
        </w:tabs>
        <w:ind w:hanging="360" w:left="4320"/>
      </w:pPr>
      <w:rPr>
        <w:rFonts w:ascii="Wingdings" w:cs="Wingdings" w:hAnsi="Wingdings" w:hint="default"/>
      </w:rPr>
    </w:lvl>
    <w:lvl w:ilvl="6">
      <w:start w:val="0"/>
      <w:numFmt w:val="bullet"/>
      <w:lvlText w:val=""/>
      <w:lvlJc w:val="left"/>
      <w:pPr>
        <w:tabs>
          <w:tab w:pos="0" w:val="num"/>
        </w:tabs>
        <w:ind w:hanging="360" w:left="5040"/>
      </w:pPr>
      <w:rPr>
        <w:rFonts w:ascii="Symbol" w:cs="Symbol" w:hAnsi="Symbol" w:hint="default"/>
      </w:rPr>
    </w:lvl>
    <w:lvl w:ilvl="7">
      <w:start w:val="0"/>
      <w:numFmt w:val="bullet"/>
      <w:lvlText w:val="o"/>
      <w:lvlJc w:val="left"/>
      <w:pPr>
        <w:tabs>
          <w:tab w:pos="0" w:val="num"/>
        </w:tabs>
        <w:ind w:hanging="360" w:left="5760"/>
      </w:pPr>
      <w:rPr>
        <w:rFonts w:ascii="Courier New" w:cs="Courier New" w:hAnsi="Courier New" w:hint="default"/>
      </w:rPr>
    </w:lvl>
    <w:lvl w:ilvl="8">
      <w:start w:val="0"/>
      <w:numFmt w:val="bullet"/>
      <w:lvlText w:val=""/>
      <w:lvlJc w:val="left"/>
      <w:pPr>
        <w:tabs>
          <w:tab w:pos="0" w:val="num"/>
        </w:tabs>
        <w:ind w:hanging="360" w:left="6480"/>
      </w:pPr>
      <w:rPr>
        <w:rFonts w:ascii="Wingdings" w:cs="Wingdings" w:hAnsi="Wingdings" w:hint="default"/>
      </w:rPr>
    </w:lvl>
  </w:abstractNum>
  <w:abstractNum w:abstractNumId="2">
    <w:lvl w:ilvl="0">
      <w:start w:val="1"/>
      <w:numFmt w:val="decimal"/>
      <w:lvlText w:val="%1."/>
      <w:lvlJc w:val="left"/>
      <w:pPr>
        <w:tabs>
          <w:tab w:pos="0" w:val="num"/>
        </w:tabs>
        <w:ind w:hanging="360" w:left="720"/>
      </w:pPr>
      <w:rPr/>
    </w:lvl>
    <w:lvl w:ilvl="1">
      <w:start w:val="1"/>
      <w:numFmt w:val="decimal"/>
      <w:lvlText w:val="%2."/>
      <w:lvlJc w:val="left"/>
      <w:pPr>
        <w:tabs>
          <w:tab w:pos="0" w:val="num"/>
        </w:tabs>
        <w:ind w:hanging="360" w:left="1440"/>
      </w:pPr>
      <w:rPr/>
    </w:lvl>
    <w:lvl w:ilvl="2">
      <w:start w:val="1"/>
      <w:numFmt w:val="decimal"/>
      <w:lvlText w:val="%3."/>
      <w:lvlJc w:val="left"/>
      <w:pPr>
        <w:tabs>
          <w:tab w:pos="0" w:val="num"/>
        </w:tabs>
        <w:ind w:hanging="360" w:left="2160"/>
      </w:pPr>
      <w:rPr/>
    </w:lvl>
    <w:lvl w:ilvl="3">
      <w:start w:val="1"/>
      <w:numFmt w:val="decimal"/>
      <w:lvlText w:val="%4."/>
      <w:lvlJc w:val="left"/>
      <w:pPr>
        <w:tabs>
          <w:tab w:pos="0" w:val="num"/>
        </w:tabs>
        <w:ind w:hanging="360" w:left="2880"/>
      </w:pPr>
      <w:rPr/>
    </w:lvl>
    <w:lvl w:ilvl="4">
      <w:start w:val="1"/>
      <w:numFmt w:val="decimal"/>
      <w:lvlText w:val="%5."/>
      <w:lvlJc w:val="left"/>
      <w:pPr>
        <w:tabs>
          <w:tab w:pos="0" w:val="num"/>
        </w:tabs>
        <w:ind w:hanging="360" w:left="3600"/>
      </w:pPr>
      <w:rPr/>
    </w:lvl>
    <w:lvl w:ilvl="5">
      <w:start w:val="1"/>
      <w:numFmt w:val="decimal"/>
      <w:lvlText w:val="%6."/>
      <w:lvlJc w:val="left"/>
      <w:pPr>
        <w:tabs>
          <w:tab w:pos="0" w:val="num"/>
        </w:tabs>
        <w:ind w:hanging="360" w:left="4320"/>
      </w:pPr>
      <w:rPr/>
    </w:lvl>
    <w:lvl w:ilvl="6">
      <w:start w:val="1"/>
      <w:numFmt w:val="decimal"/>
      <w:lvlText w:val="%7."/>
      <w:lvlJc w:val="left"/>
      <w:pPr>
        <w:tabs>
          <w:tab w:pos="0" w:val="num"/>
        </w:tabs>
        <w:ind w:hanging="360" w:left="5040"/>
      </w:pPr>
      <w:rPr/>
    </w:lvl>
    <w:lvl w:ilvl="7">
      <w:start w:val="1"/>
      <w:numFmt w:val="decimal"/>
      <w:lvlText w:val="%8."/>
      <w:lvlJc w:val="left"/>
      <w:pPr>
        <w:tabs>
          <w:tab w:pos="0" w:val="num"/>
        </w:tabs>
        <w:ind w:hanging="360" w:left="5760"/>
      </w:pPr>
      <w:rPr/>
    </w:lvl>
    <w:lvl w:ilvl="8">
      <w:start w:val="1"/>
      <w:numFmt w:val="decimal"/>
      <w:lvlText w:val="%9."/>
      <w:lvlJc w:val="left"/>
      <w:pPr>
        <w:tabs>
          <w:tab w:pos="0" w:val="num"/>
        </w:tabs>
        <w:ind w:hanging="360" w:left="6480"/>
      </w:pPr>
      <w:rPr/>
    </w:lvl>
  </w:abstractNum>
  <w:abstractNum w:abstractNumId="3">
    <w:lvl w:ilvl="0">
      <w:numFmt w:val="bullet"/>
      <w:lvlText w:val=""/>
      <w:lvlJc w:val="left"/>
      <w:pPr>
        <w:tabs>
          <w:tab w:pos="0" w:val="num"/>
        </w:tabs>
        <w:ind w:hanging="360" w:left="720"/>
      </w:pPr>
      <w:rPr>
        <w:rFonts w:ascii="Symbol" w:cs="Symbol" w:hAnsi="Symbol" w:hint="default"/>
      </w:rPr>
    </w:lvl>
    <w:lvl w:ilvl="1">
      <w:start w:val="0"/>
      <w:numFmt w:val="bullet"/>
      <w:lvlText w:val="o"/>
      <w:lvlJc w:val="left"/>
      <w:pPr>
        <w:tabs>
          <w:tab w:pos="0" w:val="num"/>
        </w:tabs>
        <w:ind w:hanging="360" w:left="1440"/>
      </w:pPr>
      <w:rPr>
        <w:rFonts w:ascii="Courier New" w:cs="Courier New" w:hAnsi="Courier New" w:hint="default"/>
      </w:rPr>
    </w:lvl>
    <w:lvl w:ilvl="2">
      <w:start w:val="0"/>
      <w:numFmt w:val="bullet"/>
      <w:lvlText w:val=""/>
      <w:lvlJc w:val="left"/>
      <w:pPr>
        <w:tabs>
          <w:tab w:pos="0" w:val="num"/>
        </w:tabs>
        <w:ind w:hanging="360" w:left="2160"/>
      </w:pPr>
      <w:rPr>
        <w:rFonts w:ascii="Wingdings" w:cs="Wingdings" w:hAnsi="Wingdings" w:hint="default"/>
      </w:rPr>
    </w:lvl>
    <w:lvl w:ilvl="3">
      <w:start w:val="0"/>
      <w:numFmt w:val="bullet"/>
      <w:lvlText w:val=""/>
      <w:lvlJc w:val="left"/>
      <w:pPr>
        <w:tabs>
          <w:tab w:pos="0" w:val="num"/>
        </w:tabs>
        <w:ind w:hanging="360" w:left="2880"/>
      </w:pPr>
      <w:rPr>
        <w:rFonts w:ascii="Symbol" w:cs="Symbol" w:hAnsi="Symbol" w:hint="default"/>
      </w:rPr>
    </w:lvl>
    <w:lvl w:ilvl="4">
      <w:start w:val="0"/>
      <w:numFmt w:val="bullet"/>
      <w:lvlText w:val="o"/>
      <w:lvlJc w:val="left"/>
      <w:pPr>
        <w:tabs>
          <w:tab w:pos="0" w:val="num"/>
        </w:tabs>
        <w:ind w:hanging="360" w:left="3600"/>
      </w:pPr>
      <w:rPr>
        <w:rFonts w:ascii="Courier New" w:cs="Courier New" w:hAnsi="Courier New" w:hint="default"/>
      </w:rPr>
    </w:lvl>
    <w:lvl w:ilvl="5">
      <w:start w:val="0"/>
      <w:numFmt w:val="bullet"/>
      <w:lvlText w:val=""/>
      <w:lvlJc w:val="left"/>
      <w:pPr>
        <w:tabs>
          <w:tab w:pos="0" w:val="num"/>
        </w:tabs>
        <w:ind w:hanging="360" w:left="4320"/>
      </w:pPr>
      <w:rPr>
        <w:rFonts w:ascii="Wingdings" w:cs="Wingdings" w:hAnsi="Wingdings" w:hint="default"/>
      </w:rPr>
    </w:lvl>
    <w:lvl w:ilvl="6">
      <w:start w:val="0"/>
      <w:numFmt w:val="bullet"/>
      <w:lvlText w:val=""/>
      <w:lvlJc w:val="left"/>
      <w:pPr>
        <w:tabs>
          <w:tab w:pos="0" w:val="num"/>
        </w:tabs>
        <w:ind w:hanging="360" w:left="5040"/>
      </w:pPr>
      <w:rPr>
        <w:rFonts w:ascii="Symbol" w:cs="Symbol" w:hAnsi="Symbol" w:hint="default"/>
      </w:rPr>
    </w:lvl>
    <w:lvl w:ilvl="7">
      <w:start w:val="0"/>
      <w:numFmt w:val="bullet"/>
      <w:lvlText w:val="o"/>
      <w:lvlJc w:val="left"/>
      <w:pPr>
        <w:tabs>
          <w:tab w:pos="0" w:val="num"/>
        </w:tabs>
        <w:ind w:hanging="360" w:left="5760"/>
      </w:pPr>
      <w:rPr>
        <w:rFonts w:ascii="Courier New" w:cs="Courier New" w:hAnsi="Courier New" w:hint="default"/>
      </w:rPr>
    </w:lvl>
    <w:lvl w:ilvl="8">
      <w:start w:val="0"/>
      <w:numFmt w:val="bullet"/>
      <w:lvlText w:val=""/>
      <w:lvlJc w:val="left"/>
      <w:pPr>
        <w:tabs>
          <w:tab w:pos="0" w:val="num"/>
        </w:tabs>
        <w:ind w:hanging="360" w:left="6480"/>
      </w:pPr>
      <w:rPr>
        <w:rFonts w:ascii="Wingdings" w:cs="Wingdings" w:hAnsi="Wingdings" w:hint="default"/>
      </w:rPr>
    </w:lvl>
  </w:abstractNum>
  <w:abstractNum w:abstractNumId="4">
    <w:lvl w:ilvl="0">
      <w:numFmt w:val="bullet"/>
      <w:lvlText w:val=""/>
      <w:lvlJc w:val="left"/>
      <w:pPr>
        <w:tabs>
          <w:tab w:pos="0" w:val="num"/>
        </w:tabs>
        <w:ind w:hanging="360" w:left="720"/>
      </w:pPr>
      <w:rPr>
        <w:rFonts w:ascii="Symbol" w:cs="Symbol" w:hAnsi="Symbol" w:hint="default"/>
      </w:rPr>
    </w:lvl>
    <w:lvl w:ilvl="1">
      <w:start w:val="0"/>
      <w:numFmt w:val="bullet"/>
      <w:lvlText w:val="o"/>
      <w:lvlJc w:val="left"/>
      <w:pPr>
        <w:tabs>
          <w:tab w:pos="0" w:val="num"/>
        </w:tabs>
        <w:ind w:hanging="360" w:left="1440"/>
      </w:pPr>
      <w:rPr>
        <w:rFonts w:ascii="Courier New" w:cs="Courier New" w:hAnsi="Courier New" w:hint="default"/>
      </w:rPr>
    </w:lvl>
    <w:lvl w:ilvl="2">
      <w:start w:val="0"/>
      <w:numFmt w:val="bullet"/>
      <w:lvlText w:val=""/>
      <w:lvlJc w:val="left"/>
      <w:pPr>
        <w:tabs>
          <w:tab w:pos="0" w:val="num"/>
        </w:tabs>
        <w:ind w:hanging="360" w:left="2160"/>
      </w:pPr>
      <w:rPr>
        <w:rFonts w:ascii="Wingdings" w:cs="Wingdings" w:hAnsi="Wingdings" w:hint="default"/>
      </w:rPr>
    </w:lvl>
    <w:lvl w:ilvl="3">
      <w:start w:val="0"/>
      <w:numFmt w:val="bullet"/>
      <w:lvlText w:val=""/>
      <w:lvlJc w:val="left"/>
      <w:pPr>
        <w:tabs>
          <w:tab w:pos="0" w:val="num"/>
        </w:tabs>
        <w:ind w:hanging="360" w:left="2880"/>
      </w:pPr>
      <w:rPr>
        <w:rFonts w:ascii="Symbol" w:cs="Symbol" w:hAnsi="Symbol" w:hint="default"/>
      </w:rPr>
    </w:lvl>
    <w:lvl w:ilvl="4">
      <w:start w:val="0"/>
      <w:numFmt w:val="bullet"/>
      <w:lvlText w:val="o"/>
      <w:lvlJc w:val="left"/>
      <w:pPr>
        <w:tabs>
          <w:tab w:pos="0" w:val="num"/>
        </w:tabs>
        <w:ind w:hanging="360" w:left="3600"/>
      </w:pPr>
      <w:rPr>
        <w:rFonts w:ascii="Courier New" w:cs="Courier New" w:hAnsi="Courier New" w:hint="default"/>
      </w:rPr>
    </w:lvl>
    <w:lvl w:ilvl="5">
      <w:start w:val="0"/>
      <w:numFmt w:val="bullet"/>
      <w:lvlText w:val=""/>
      <w:lvlJc w:val="left"/>
      <w:pPr>
        <w:tabs>
          <w:tab w:pos="0" w:val="num"/>
        </w:tabs>
        <w:ind w:hanging="360" w:left="4320"/>
      </w:pPr>
      <w:rPr>
        <w:rFonts w:ascii="Wingdings" w:cs="Wingdings" w:hAnsi="Wingdings" w:hint="default"/>
      </w:rPr>
    </w:lvl>
    <w:lvl w:ilvl="6">
      <w:start w:val="0"/>
      <w:numFmt w:val="bullet"/>
      <w:lvlText w:val=""/>
      <w:lvlJc w:val="left"/>
      <w:pPr>
        <w:tabs>
          <w:tab w:pos="0" w:val="num"/>
        </w:tabs>
        <w:ind w:hanging="360" w:left="5040"/>
      </w:pPr>
      <w:rPr>
        <w:rFonts w:ascii="Symbol" w:cs="Symbol" w:hAnsi="Symbol" w:hint="default"/>
      </w:rPr>
    </w:lvl>
    <w:lvl w:ilvl="7">
      <w:start w:val="0"/>
      <w:numFmt w:val="bullet"/>
      <w:lvlText w:val="o"/>
      <w:lvlJc w:val="left"/>
      <w:pPr>
        <w:tabs>
          <w:tab w:pos="0" w:val="num"/>
        </w:tabs>
        <w:ind w:hanging="360" w:left="5760"/>
      </w:pPr>
      <w:rPr>
        <w:rFonts w:ascii="Courier New" w:cs="Courier New" w:hAnsi="Courier New" w:hint="default"/>
      </w:rPr>
    </w:lvl>
    <w:lvl w:ilvl="8">
      <w:start w:val="0"/>
      <w:numFmt w:val="bullet"/>
      <w:lvlText w:val=""/>
      <w:lvlJc w:val="left"/>
      <w:pPr>
        <w:tabs>
          <w:tab w:pos="0" w:val="num"/>
        </w:tabs>
        <w:ind w:hanging="360" w:left="6480"/>
      </w:pPr>
      <w:rPr>
        <w:rFonts w:ascii="Wingdings" w:cs="Wingdings" w:hAnsi="Wingdings" w:hint="default"/>
      </w:rPr>
    </w:lvl>
  </w:abstractNum>
  <w:abstractNum w:abstractNumId="5">
    <w:lvl w:ilvl="0">
      <w:numFmt w:val="bullet"/>
      <w:lvlText w:val=""/>
      <w:lvlJc w:val="left"/>
      <w:pPr>
        <w:tabs>
          <w:tab w:pos="0" w:val="num"/>
        </w:tabs>
        <w:ind w:hanging="360" w:left="720"/>
      </w:pPr>
      <w:rPr>
        <w:rFonts w:ascii="Symbol" w:cs="Symbol" w:hAnsi="Symbol" w:hint="default"/>
      </w:rPr>
    </w:lvl>
    <w:lvl w:ilvl="1">
      <w:start w:val="0"/>
      <w:numFmt w:val="bullet"/>
      <w:lvlText w:val="o"/>
      <w:lvlJc w:val="left"/>
      <w:pPr>
        <w:tabs>
          <w:tab w:pos="0" w:val="num"/>
        </w:tabs>
        <w:ind w:hanging="360" w:left="1440"/>
      </w:pPr>
      <w:rPr>
        <w:rFonts w:ascii="Courier New" w:cs="Courier New" w:hAnsi="Courier New" w:hint="default"/>
      </w:rPr>
    </w:lvl>
    <w:lvl w:ilvl="2">
      <w:start w:val="0"/>
      <w:numFmt w:val="bullet"/>
      <w:lvlText w:val=""/>
      <w:lvlJc w:val="left"/>
      <w:pPr>
        <w:tabs>
          <w:tab w:pos="0" w:val="num"/>
        </w:tabs>
        <w:ind w:hanging="360" w:left="2160"/>
      </w:pPr>
      <w:rPr>
        <w:rFonts w:ascii="Wingdings" w:cs="Wingdings" w:hAnsi="Wingdings" w:hint="default"/>
      </w:rPr>
    </w:lvl>
    <w:lvl w:ilvl="3">
      <w:start w:val="0"/>
      <w:numFmt w:val="bullet"/>
      <w:lvlText w:val=""/>
      <w:lvlJc w:val="left"/>
      <w:pPr>
        <w:tabs>
          <w:tab w:pos="0" w:val="num"/>
        </w:tabs>
        <w:ind w:hanging="360" w:left="2880"/>
      </w:pPr>
      <w:rPr>
        <w:rFonts w:ascii="Symbol" w:cs="Symbol" w:hAnsi="Symbol" w:hint="default"/>
      </w:rPr>
    </w:lvl>
    <w:lvl w:ilvl="4">
      <w:start w:val="0"/>
      <w:numFmt w:val="bullet"/>
      <w:lvlText w:val="o"/>
      <w:lvlJc w:val="left"/>
      <w:pPr>
        <w:tabs>
          <w:tab w:pos="0" w:val="num"/>
        </w:tabs>
        <w:ind w:hanging="360" w:left="3600"/>
      </w:pPr>
      <w:rPr>
        <w:rFonts w:ascii="Courier New" w:cs="Courier New" w:hAnsi="Courier New" w:hint="default"/>
      </w:rPr>
    </w:lvl>
    <w:lvl w:ilvl="5">
      <w:start w:val="0"/>
      <w:numFmt w:val="bullet"/>
      <w:lvlText w:val=""/>
      <w:lvlJc w:val="left"/>
      <w:pPr>
        <w:tabs>
          <w:tab w:pos="0" w:val="num"/>
        </w:tabs>
        <w:ind w:hanging="360" w:left="4320"/>
      </w:pPr>
      <w:rPr>
        <w:rFonts w:ascii="Wingdings" w:cs="Wingdings" w:hAnsi="Wingdings" w:hint="default"/>
      </w:rPr>
    </w:lvl>
    <w:lvl w:ilvl="6">
      <w:start w:val="0"/>
      <w:numFmt w:val="bullet"/>
      <w:lvlText w:val=""/>
      <w:lvlJc w:val="left"/>
      <w:pPr>
        <w:tabs>
          <w:tab w:pos="0" w:val="num"/>
        </w:tabs>
        <w:ind w:hanging="360" w:left="5040"/>
      </w:pPr>
      <w:rPr>
        <w:rFonts w:ascii="Symbol" w:cs="Symbol" w:hAnsi="Symbol" w:hint="default"/>
      </w:rPr>
    </w:lvl>
    <w:lvl w:ilvl="7">
      <w:start w:val="0"/>
      <w:numFmt w:val="bullet"/>
      <w:lvlText w:val="o"/>
      <w:lvlJc w:val="left"/>
      <w:pPr>
        <w:tabs>
          <w:tab w:pos="0" w:val="num"/>
        </w:tabs>
        <w:ind w:hanging="360" w:left="5760"/>
      </w:pPr>
      <w:rPr>
        <w:rFonts w:ascii="Courier New" w:cs="Courier New" w:hAnsi="Courier New" w:hint="default"/>
      </w:rPr>
    </w:lvl>
    <w:lvl w:ilvl="8">
      <w:start w:val="0"/>
      <w:numFmt w:val="bullet"/>
      <w:lvlText w:val=""/>
      <w:lvlJc w:val="left"/>
      <w:pPr>
        <w:tabs>
          <w:tab w:pos="0" w:val="num"/>
        </w:tabs>
        <w:ind w:hanging="360" w:left="6480"/>
      </w:pPr>
      <w:rPr>
        <w:rFonts w:ascii="Wingdings" w:cs="Wingdings" w:hAnsi="Wingdings" w:hint="default"/>
      </w:rPr>
    </w:lvl>
  </w:abstractNum>
  <w:abstractNum w:abstractNumId="6">
    <w:lvl w:ilvl="0">
      <w:numFmt w:val="bullet"/>
      <w:lvlText w:val=""/>
      <w:lvlJc w:val="left"/>
      <w:pPr>
        <w:tabs>
          <w:tab w:pos="0" w:val="num"/>
        </w:tabs>
        <w:ind w:hanging="360" w:left="720"/>
      </w:pPr>
      <w:rPr>
        <w:rFonts w:ascii="Symbol" w:cs="Symbol" w:hAnsi="Symbol" w:hint="default"/>
      </w:rPr>
    </w:lvl>
    <w:lvl w:ilvl="1">
      <w:start w:val="0"/>
      <w:numFmt w:val="bullet"/>
      <w:lvlText w:val="o"/>
      <w:lvlJc w:val="left"/>
      <w:pPr>
        <w:tabs>
          <w:tab w:pos="0" w:val="num"/>
        </w:tabs>
        <w:ind w:hanging="360" w:left="1440"/>
      </w:pPr>
      <w:rPr>
        <w:rFonts w:ascii="Courier New" w:cs="Courier New" w:hAnsi="Courier New" w:hint="default"/>
      </w:rPr>
    </w:lvl>
    <w:lvl w:ilvl="2">
      <w:start w:val="0"/>
      <w:numFmt w:val="bullet"/>
      <w:lvlText w:val=""/>
      <w:lvlJc w:val="left"/>
      <w:pPr>
        <w:tabs>
          <w:tab w:pos="0" w:val="num"/>
        </w:tabs>
        <w:ind w:hanging="360" w:left="2160"/>
      </w:pPr>
      <w:rPr>
        <w:rFonts w:ascii="Wingdings" w:cs="Wingdings" w:hAnsi="Wingdings" w:hint="default"/>
      </w:rPr>
    </w:lvl>
    <w:lvl w:ilvl="3">
      <w:start w:val="0"/>
      <w:numFmt w:val="bullet"/>
      <w:lvlText w:val=""/>
      <w:lvlJc w:val="left"/>
      <w:pPr>
        <w:tabs>
          <w:tab w:pos="0" w:val="num"/>
        </w:tabs>
        <w:ind w:hanging="360" w:left="2880"/>
      </w:pPr>
      <w:rPr>
        <w:rFonts w:ascii="Symbol" w:cs="Symbol" w:hAnsi="Symbol" w:hint="default"/>
      </w:rPr>
    </w:lvl>
    <w:lvl w:ilvl="4">
      <w:start w:val="0"/>
      <w:numFmt w:val="bullet"/>
      <w:lvlText w:val="o"/>
      <w:lvlJc w:val="left"/>
      <w:pPr>
        <w:tabs>
          <w:tab w:pos="0" w:val="num"/>
        </w:tabs>
        <w:ind w:hanging="360" w:left="3600"/>
      </w:pPr>
      <w:rPr>
        <w:rFonts w:ascii="Courier New" w:cs="Courier New" w:hAnsi="Courier New" w:hint="default"/>
      </w:rPr>
    </w:lvl>
    <w:lvl w:ilvl="5">
      <w:start w:val="0"/>
      <w:numFmt w:val="bullet"/>
      <w:lvlText w:val=""/>
      <w:lvlJc w:val="left"/>
      <w:pPr>
        <w:tabs>
          <w:tab w:pos="0" w:val="num"/>
        </w:tabs>
        <w:ind w:hanging="360" w:left="4320"/>
      </w:pPr>
      <w:rPr>
        <w:rFonts w:ascii="Wingdings" w:cs="Wingdings" w:hAnsi="Wingdings" w:hint="default"/>
      </w:rPr>
    </w:lvl>
    <w:lvl w:ilvl="6">
      <w:start w:val="0"/>
      <w:numFmt w:val="bullet"/>
      <w:lvlText w:val=""/>
      <w:lvlJc w:val="left"/>
      <w:pPr>
        <w:tabs>
          <w:tab w:pos="0" w:val="num"/>
        </w:tabs>
        <w:ind w:hanging="360" w:left="5040"/>
      </w:pPr>
      <w:rPr>
        <w:rFonts w:ascii="Symbol" w:cs="Symbol" w:hAnsi="Symbol" w:hint="default"/>
      </w:rPr>
    </w:lvl>
    <w:lvl w:ilvl="7">
      <w:start w:val="0"/>
      <w:numFmt w:val="bullet"/>
      <w:lvlText w:val="o"/>
      <w:lvlJc w:val="left"/>
      <w:pPr>
        <w:tabs>
          <w:tab w:pos="0" w:val="num"/>
        </w:tabs>
        <w:ind w:hanging="360" w:left="5760"/>
      </w:pPr>
      <w:rPr>
        <w:rFonts w:ascii="Courier New" w:cs="Courier New" w:hAnsi="Courier New" w:hint="default"/>
      </w:rPr>
    </w:lvl>
    <w:lvl w:ilvl="8">
      <w:start w:val="0"/>
      <w:numFmt w:val="bullet"/>
      <w:lvlText w:val=""/>
      <w:lvlJc w:val="left"/>
      <w:pPr>
        <w:tabs>
          <w:tab w:pos="0" w:val="num"/>
        </w:tabs>
        <w:ind w:hanging="360" w:left="6480"/>
      </w:pPr>
      <w:rPr>
        <w:rFonts w:ascii="Wingdings" w:cs="Wingdings" w:hAnsi="Wingdings" w:hint="default"/>
      </w:rPr>
    </w:lvl>
  </w:abstractNum>
  <w:abstractNum w:abstractNumId="7">
    <w:lvl w:ilvl="0">
      <w:numFmt w:val="bullet"/>
      <w:lvlText w:val=""/>
      <w:lvlJc w:val="left"/>
      <w:pPr>
        <w:tabs>
          <w:tab w:pos="0" w:val="num"/>
        </w:tabs>
        <w:ind w:hanging="360" w:left="720"/>
      </w:pPr>
      <w:rPr>
        <w:rFonts w:ascii="Symbol" w:cs="Symbol" w:hAnsi="Symbol" w:hint="default"/>
      </w:rPr>
    </w:lvl>
    <w:lvl w:ilvl="1">
      <w:start w:val="0"/>
      <w:numFmt w:val="bullet"/>
      <w:lvlText w:val="o"/>
      <w:lvlJc w:val="left"/>
      <w:pPr>
        <w:tabs>
          <w:tab w:pos="0" w:val="num"/>
        </w:tabs>
        <w:ind w:hanging="360" w:left="1440"/>
      </w:pPr>
      <w:rPr>
        <w:rFonts w:ascii="Courier New" w:cs="Courier New" w:hAnsi="Courier New" w:hint="default"/>
      </w:rPr>
    </w:lvl>
    <w:lvl w:ilvl="2">
      <w:start w:val="0"/>
      <w:numFmt w:val="bullet"/>
      <w:lvlText w:val=""/>
      <w:lvlJc w:val="left"/>
      <w:pPr>
        <w:tabs>
          <w:tab w:pos="0" w:val="num"/>
        </w:tabs>
        <w:ind w:hanging="360" w:left="2160"/>
      </w:pPr>
      <w:rPr>
        <w:rFonts w:ascii="Wingdings" w:cs="Wingdings" w:hAnsi="Wingdings" w:hint="default"/>
      </w:rPr>
    </w:lvl>
    <w:lvl w:ilvl="3">
      <w:start w:val="0"/>
      <w:numFmt w:val="bullet"/>
      <w:lvlText w:val=""/>
      <w:lvlJc w:val="left"/>
      <w:pPr>
        <w:tabs>
          <w:tab w:pos="0" w:val="num"/>
        </w:tabs>
        <w:ind w:hanging="360" w:left="2880"/>
      </w:pPr>
      <w:rPr>
        <w:rFonts w:ascii="Symbol" w:cs="Symbol" w:hAnsi="Symbol" w:hint="default"/>
      </w:rPr>
    </w:lvl>
    <w:lvl w:ilvl="4">
      <w:start w:val="0"/>
      <w:numFmt w:val="bullet"/>
      <w:lvlText w:val="o"/>
      <w:lvlJc w:val="left"/>
      <w:pPr>
        <w:tabs>
          <w:tab w:pos="0" w:val="num"/>
        </w:tabs>
        <w:ind w:hanging="360" w:left="3600"/>
      </w:pPr>
      <w:rPr>
        <w:rFonts w:ascii="Courier New" w:cs="Courier New" w:hAnsi="Courier New" w:hint="default"/>
      </w:rPr>
    </w:lvl>
    <w:lvl w:ilvl="5">
      <w:start w:val="0"/>
      <w:numFmt w:val="bullet"/>
      <w:lvlText w:val=""/>
      <w:lvlJc w:val="left"/>
      <w:pPr>
        <w:tabs>
          <w:tab w:pos="0" w:val="num"/>
        </w:tabs>
        <w:ind w:hanging="360" w:left="4320"/>
      </w:pPr>
      <w:rPr>
        <w:rFonts w:ascii="Wingdings" w:cs="Wingdings" w:hAnsi="Wingdings" w:hint="default"/>
      </w:rPr>
    </w:lvl>
    <w:lvl w:ilvl="6">
      <w:start w:val="0"/>
      <w:numFmt w:val="bullet"/>
      <w:lvlText w:val=""/>
      <w:lvlJc w:val="left"/>
      <w:pPr>
        <w:tabs>
          <w:tab w:pos="0" w:val="num"/>
        </w:tabs>
        <w:ind w:hanging="360" w:left="5040"/>
      </w:pPr>
      <w:rPr>
        <w:rFonts w:ascii="Symbol" w:cs="Symbol" w:hAnsi="Symbol" w:hint="default"/>
      </w:rPr>
    </w:lvl>
    <w:lvl w:ilvl="7">
      <w:start w:val="0"/>
      <w:numFmt w:val="bullet"/>
      <w:lvlText w:val="o"/>
      <w:lvlJc w:val="left"/>
      <w:pPr>
        <w:tabs>
          <w:tab w:pos="0" w:val="num"/>
        </w:tabs>
        <w:ind w:hanging="360" w:left="5760"/>
      </w:pPr>
      <w:rPr>
        <w:rFonts w:ascii="Courier New" w:cs="Courier New" w:hAnsi="Courier New" w:hint="default"/>
      </w:rPr>
    </w:lvl>
    <w:lvl w:ilvl="8">
      <w:start w:val="0"/>
      <w:numFmt w:val="bullet"/>
      <w:lvlText w:val=""/>
      <w:lvlJc w:val="left"/>
      <w:pPr>
        <w:tabs>
          <w:tab w:pos="0" w:val="num"/>
        </w:tabs>
        <w:ind w:hanging="360" w:left="6480"/>
      </w:pPr>
      <w:rPr>
        <w:rFonts w:ascii="Wingdings" w:cs="Wingdings" w:hAnsi="Wingdings" w:hint="default"/>
      </w:rPr>
    </w:lvl>
  </w:abstractNum>
  <w:abstractNum w:abstractNumId="8">
    <w:lvl w:ilvl="0">
      <w:numFmt w:val="bullet"/>
      <w:lvlText w:val=""/>
      <w:lvlJc w:val="left"/>
      <w:pPr>
        <w:tabs>
          <w:tab w:pos="0" w:val="num"/>
        </w:tabs>
        <w:ind w:hanging="360" w:left="720"/>
      </w:pPr>
      <w:rPr>
        <w:rFonts w:ascii="Symbol" w:cs="Symbol" w:hAnsi="Symbol" w:hint="default"/>
      </w:rPr>
    </w:lvl>
    <w:lvl w:ilvl="1">
      <w:start w:val="0"/>
      <w:numFmt w:val="bullet"/>
      <w:lvlText w:val="o"/>
      <w:lvlJc w:val="left"/>
      <w:pPr>
        <w:tabs>
          <w:tab w:pos="0" w:val="num"/>
        </w:tabs>
        <w:ind w:hanging="360" w:left="1440"/>
      </w:pPr>
      <w:rPr>
        <w:rFonts w:ascii="Courier New" w:cs="Courier New" w:hAnsi="Courier New" w:hint="default"/>
      </w:rPr>
    </w:lvl>
    <w:lvl w:ilvl="2">
      <w:start w:val="0"/>
      <w:numFmt w:val="bullet"/>
      <w:lvlText w:val=""/>
      <w:lvlJc w:val="left"/>
      <w:pPr>
        <w:tabs>
          <w:tab w:pos="0" w:val="num"/>
        </w:tabs>
        <w:ind w:hanging="360" w:left="2160"/>
      </w:pPr>
      <w:rPr>
        <w:rFonts w:ascii="Wingdings" w:cs="Wingdings" w:hAnsi="Wingdings" w:hint="default"/>
      </w:rPr>
    </w:lvl>
    <w:lvl w:ilvl="3">
      <w:start w:val="0"/>
      <w:numFmt w:val="bullet"/>
      <w:lvlText w:val=""/>
      <w:lvlJc w:val="left"/>
      <w:pPr>
        <w:tabs>
          <w:tab w:pos="0" w:val="num"/>
        </w:tabs>
        <w:ind w:hanging="360" w:left="2880"/>
      </w:pPr>
      <w:rPr>
        <w:rFonts w:ascii="Symbol" w:cs="Symbol" w:hAnsi="Symbol" w:hint="default"/>
      </w:rPr>
    </w:lvl>
    <w:lvl w:ilvl="4">
      <w:start w:val="0"/>
      <w:numFmt w:val="bullet"/>
      <w:lvlText w:val="o"/>
      <w:lvlJc w:val="left"/>
      <w:pPr>
        <w:tabs>
          <w:tab w:pos="0" w:val="num"/>
        </w:tabs>
        <w:ind w:hanging="360" w:left="3600"/>
      </w:pPr>
      <w:rPr>
        <w:rFonts w:ascii="Courier New" w:cs="Courier New" w:hAnsi="Courier New" w:hint="default"/>
      </w:rPr>
    </w:lvl>
    <w:lvl w:ilvl="5">
      <w:start w:val="0"/>
      <w:numFmt w:val="bullet"/>
      <w:lvlText w:val=""/>
      <w:lvlJc w:val="left"/>
      <w:pPr>
        <w:tabs>
          <w:tab w:pos="0" w:val="num"/>
        </w:tabs>
        <w:ind w:hanging="360" w:left="4320"/>
      </w:pPr>
      <w:rPr>
        <w:rFonts w:ascii="Wingdings" w:cs="Wingdings" w:hAnsi="Wingdings" w:hint="default"/>
      </w:rPr>
    </w:lvl>
    <w:lvl w:ilvl="6">
      <w:start w:val="0"/>
      <w:numFmt w:val="bullet"/>
      <w:lvlText w:val=""/>
      <w:lvlJc w:val="left"/>
      <w:pPr>
        <w:tabs>
          <w:tab w:pos="0" w:val="num"/>
        </w:tabs>
        <w:ind w:hanging="360" w:left="5040"/>
      </w:pPr>
      <w:rPr>
        <w:rFonts w:ascii="Symbol" w:cs="Symbol" w:hAnsi="Symbol" w:hint="default"/>
      </w:rPr>
    </w:lvl>
    <w:lvl w:ilvl="7">
      <w:start w:val="0"/>
      <w:numFmt w:val="bullet"/>
      <w:lvlText w:val="o"/>
      <w:lvlJc w:val="left"/>
      <w:pPr>
        <w:tabs>
          <w:tab w:pos="0" w:val="num"/>
        </w:tabs>
        <w:ind w:hanging="360" w:left="5760"/>
      </w:pPr>
      <w:rPr>
        <w:rFonts w:ascii="Courier New" w:cs="Courier New" w:hAnsi="Courier New" w:hint="default"/>
      </w:rPr>
    </w:lvl>
    <w:lvl w:ilvl="8">
      <w:start w:val="0"/>
      <w:numFmt w:val="bullet"/>
      <w:lvlText w:val=""/>
      <w:lvlJc w:val="left"/>
      <w:pPr>
        <w:tabs>
          <w:tab w:pos="0" w:val="num"/>
        </w:tabs>
        <w:ind w:hanging="360" w:left="6480"/>
      </w:pPr>
      <w:rPr>
        <w:rFonts w:ascii="Wingdings" w:cs="Wingdings" w:hAnsi="Wingdings" w:hint="default"/>
      </w:rPr>
    </w:lvl>
  </w:abstractNum>
  <w:abstractNum w:abstractNumId="9">
    <w:lvl w:ilvl="0">
      <w:numFmt w:val="bullet"/>
      <w:lvlText w:val=""/>
      <w:lvlJc w:val="left"/>
      <w:pPr>
        <w:tabs>
          <w:tab w:pos="0" w:val="num"/>
        </w:tabs>
        <w:ind w:hanging="360" w:left="720"/>
      </w:pPr>
      <w:rPr>
        <w:rFonts w:ascii="Symbol" w:cs="Symbol" w:hAnsi="Symbol" w:hint="default"/>
      </w:rPr>
    </w:lvl>
    <w:lvl w:ilvl="1">
      <w:start w:val="0"/>
      <w:numFmt w:val="bullet"/>
      <w:lvlText w:val="o"/>
      <w:lvlJc w:val="left"/>
      <w:pPr>
        <w:tabs>
          <w:tab w:pos="0" w:val="num"/>
        </w:tabs>
        <w:ind w:hanging="360" w:left="1440"/>
      </w:pPr>
      <w:rPr>
        <w:rFonts w:ascii="Courier New" w:cs="Courier New" w:hAnsi="Courier New" w:hint="default"/>
      </w:rPr>
    </w:lvl>
    <w:lvl w:ilvl="2">
      <w:start w:val="0"/>
      <w:numFmt w:val="bullet"/>
      <w:lvlText w:val=""/>
      <w:lvlJc w:val="left"/>
      <w:pPr>
        <w:tabs>
          <w:tab w:pos="0" w:val="num"/>
        </w:tabs>
        <w:ind w:hanging="360" w:left="2160"/>
      </w:pPr>
      <w:rPr>
        <w:rFonts w:ascii="Wingdings" w:cs="Wingdings" w:hAnsi="Wingdings" w:hint="default"/>
      </w:rPr>
    </w:lvl>
    <w:lvl w:ilvl="3">
      <w:start w:val="0"/>
      <w:numFmt w:val="bullet"/>
      <w:lvlText w:val=""/>
      <w:lvlJc w:val="left"/>
      <w:pPr>
        <w:tabs>
          <w:tab w:pos="0" w:val="num"/>
        </w:tabs>
        <w:ind w:hanging="360" w:left="2880"/>
      </w:pPr>
      <w:rPr>
        <w:rFonts w:ascii="Symbol" w:cs="Symbol" w:hAnsi="Symbol" w:hint="default"/>
      </w:rPr>
    </w:lvl>
    <w:lvl w:ilvl="4">
      <w:start w:val="0"/>
      <w:numFmt w:val="bullet"/>
      <w:lvlText w:val="o"/>
      <w:lvlJc w:val="left"/>
      <w:pPr>
        <w:tabs>
          <w:tab w:pos="0" w:val="num"/>
        </w:tabs>
        <w:ind w:hanging="360" w:left="3600"/>
      </w:pPr>
      <w:rPr>
        <w:rFonts w:ascii="Courier New" w:cs="Courier New" w:hAnsi="Courier New" w:hint="default"/>
      </w:rPr>
    </w:lvl>
    <w:lvl w:ilvl="5">
      <w:start w:val="0"/>
      <w:numFmt w:val="bullet"/>
      <w:lvlText w:val=""/>
      <w:lvlJc w:val="left"/>
      <w:pPr>
        <w:tabs>
          <w:tab w:pos="0" w:val="num"/>
        </w:tabs>
        <w:ind w:hanging="360" w:left="4320"/>
      </w:pPr>
      <w:rPr>
        <w:rFonts w:ascii="Wingdings" w:cs="Wingdings" w:hAnsi="Wingdings" w:hint="default"/>
      </w:rPr>
    </w:lvl>
    <w:lvl w:ilvl="6">
      <w:start w:val="0"/>
      <w:numFmt w:val="bullet"/>
      <w:lvlText w:val=""/>
      <w:lvlJc w:val="left"/>
      <w:pPr>
        <w:tabs>
          <w:tab w:pos="0" w:val="num"/>
        </w:tabs>
        <w:ind w:hanging="360" w:left="5040"/>
      </w:pPr>
      <w:rPr>
        <w:rFonts w:ascii="Symbol" w:cs="Symbol" w:hAnsi="Symbol" w:hint="default"/>
      </w:rPr>
    </w:lvl>
    <w:lvl w:ilvl="7">
      <w:start w:val="0"/>
      <w:numFmt w:val="bullet"/>
      <w:lvlText w:val="o"/>
      <w:lvlJc w:val="left"/>
      <w:pPr>
        <w:tabs>
          <w:tab w:pos="0" w:val="num"/>
        </w:tabs>
        <w:ind w:hanging="360" w:left="5760"/>
      </w:pPr>
      <w:rPr>
        <w:rFonts w:ascii="Courier New" w:cs="Courier New" w:hAnsi="Courier New" w:hint="default"/>
      </w:rPr>
    </w:lvl>
    <w:lvl w:ilvl="8">
      <w:start w:val="0"/>
      <w:numFmt w:val="bullet"/>
      <w:lvlText w:val=""/>
      <w:lvlJc w:val="left"/>
      <w:pPr>
        <w:tabs>
          <w:tab w:pos="0" w:val="num"/>
        </w:tabs>
        <w:ind w:hanging="360" w:left="6480"/>
      </w:pPr>
      <w:rPr>
        <w:rFonts w:ascii="Wingdings" w:cs="Wingdings" w:hAnsi="Wingdings" w:hint="default"/>
      </w:rPr>
    </w:lvl>
  </w:abstractNum>
  <w:abstractNum w:abstractNumId="10">
    <w:lvl w:ilvl="0">
      <w:numFmt w:val="bullet"/>
      <w:lvlText w:val=""/>
      <w:lvlJc w:val="left"/>
      <w:pPr>
        <w:tabs>
          <w:tab w:pos="0" w:val="num"/>
        </w:tabs>
        <w:ind w:hanging="360" w:left="720"/>
      </w:pPr>
      <w:rPr>
        <w:rFonts w:ascii="Symbol" w:cs="Symbol" w:hAnsi="Symbol" w:hint="default"/>
      </w:rPr>
    </w:lvl>
    <w:lvl w:ilvl="1">
      <w:start w:val="0"/>
      <w:numFmt w:val="bullet"/>
      <w:lvlText w:val="o"/>
      <w:lvlJc w:val="left"/>
      <w:pPr>
        <w:tabs>
          <w:tab w:pos="0" w:val="num"/>
        </w:tabs>
        <w:ind w:hanging="360" w:left="1440"/>
      </w:pPr>
      <w:rPr>
        <w:rFonts w:ascii="Courier New" w:cs="Courier New" w:hAnsi="Courier New" w:hint="default"/>
      </w:rPr>
    </w:lvl>
    <w:lvl w:ilvl="2">
      <w:start w:val="0"/>
      <w:numFmt w:val="bullet"/>
      <w:lvlText w:val=""/>
      <w:lvlJc w:val="left"/>
      <w:pPr>
        <w:tabs>
          <w:tab w:pos="0" w:val="num"/>
        </w:tabs>
        <w:ind w:hanging="360" w:left="2160"/>
      </w:pPr>
      <w:rPr>
        <w:rFonts w:ascii="Wingdings" w:cs="Wingdings" w:hAnsi="Wingdings" w:hint="default"/>
      </w:rPr>
    </w:lvl>
    <w:lvl w:ilvl="3">
      <w:start w:val="0"/>
      <w:numFmt w:val="bullet"/>
      <w:lvlText w:val=""/>
      <w:lvlJc w:val="left"/>
      <w:pPr>
        <w:tabs>
          <w:tab w:pos="0" w:val="num"/>
        </w:tabs>
        <w:ind w:hanging="360" w:left="2880"/>
      </w:pPr>
      <w:rPr>
        <w:rFonts w:ascii="Symbol" w:cs="Symbol" w:hAnsi="Symbol" w:hint="default"/>
      </w:rPr>
    </w:lvl>
    <w:lvl w:ilvl="4">
      <w:start w:val="0"/>
      <w:numFmt w:val="bullet"/>
      <w:lvlText w:val="o"/>
      <w:lvlJc w:val="left"/>
      <w:pPr>
        <w:tabs>
          <w:tab w:pos="0" w:val="num"/>
        </w:tabs>
        <w:ind w:hanging="360" w:left="3600"/>
      </w:pPr>
      <w:rPr>
        <w:rFonts w:ascii="Courier New" w:cs="Courier New" w:hAnsi="Courier New" w:hint="default"/>
      </w:rPr>
    </w:lvl>
    <w:lvl w:ilvl="5">
      <w:start w:val="0"/>
      <w:numFmt w:val="bullet"/>
      <w:lvlText w:val=""/>
      <w:lvlJc w:val="left"/>
      <w:pPr>
        <w:tabs>
          <w:tab w:pos="0" w:val="num"/>
        </w:tabs>
        <w:ind w:hanging="360" w:left="4320"/>
      </w:pPr>
      <w:rPr>
        <w:rFonts w:ascii="Wingdings" w:cs="Wingdings" w:hAnsi="Wingdings" w:hint="default"/>
      </w:rPr>
    </w:lvl>
    <w:lvl w:ilvl="6">
      <w:start w:val="0"/>
      <w:numFmt w:val="bullet"/>
      <w:lvlText w:val=""/>
      <w:lvlJc w:val="left"/>
      <w:pPr>
        <w:tabs>
          <w:tab w:pos="0" w:val="num"/>
        </w:tabs>
        <w:ind w:hanging="360" w:left="5040"/>
      </w:pPr>
      <w:rPr>
        <w:rFonts w:ascii="Symbol" w:cs="Symbol" w:hAnsi="Symbol" w:hint="default"/>
      </w:rPr>
    </w:lvl>
    <w:lvl w:ilvl="7">
      <w:start w:val="0"/>
      <w:numFmt w:val="bullet"/>
      <w:lvlText w:val="o"/>
      <w:lvlJc w:val="left"/>
      <w:pPr>
        <w:tabs>
          <w:tab w:pos="0" w:val="num"/>
        </w:tabs>
        <w:ind w:hanging="360" w:left="5760"/>
      </w:pPr>
      <w:rPr>
        <w:rFonts w:ascii="Courier New" w:cs="Courier New" w:hAnsi="Courier New" w:hint="default"/>
      </w:rPr>
    </w:lvl>
    <w:lvl w:ilvl="8">
      <w:start w:val="0"/>
      <w:numFmt w:val="bullet"/>
      <w:lvlText w:val=""/>
      <w:lvlJc w:val="left"/>
      <w:pPr>
        <w:tabs>
          <w:tab w:pos="0" w:val="num"/>
        </w:tabs>
        <w:ind w:hanging="360" w:left="6480"/>
      </w:pPr>
      <w:rPr>
        <w:rFonts w:ascii="Wingdings" w:cs="Wingdings" w:hAnsi="Wingdings" w:hint="default"/>
      </w:rPr>
    </w:lvl>
  </w:abstractNum>
  <w:abstractNum w:abstractNumId="11">
    <w:lvl w:ilvl="0">
      <w:numFmt w:val="bullet"/>
      <w:lvlText w:val=""/>
      <w:lvlJc w:val="left"/>
      <w:pPr>
        <w:tabs>
          <w:tab w:pos="0" w:val="num"/>
        </w:tabs>
        <w:ind w:hanging="360" w:left="720"/>
      </w:pPr>
      <w:rPr>
        <w:rFonts w:ascii="Symbol" w:cs="Symbol" w:hAnsi="Symbol" w:hint="default"/>
      </w:rPr>
    </w:lvl>
    <w:lvl w:ilvl="1">
      <w:start w:val="0"/>
      <w:numFmt w:val="bullet"/>
      <w:lvlText w:val="o"/>
      <w:lvlJc w:val="left"/>
      <w:pPr>
        <w:tabs>
          <w:tab w:pos="0" w:val="num"/>
        </w:tabs>
        <w:ind w:hanging="360" w:left="1440"/>
      </w:pPr>
      <w:rPr>
        <w:rFonts w:ascii="Courier New" w:cs="Courier New" w:hAnsi="Courier New" w:hint="default"/>
      </w:rPr>
    </w:lvl>
    <w:lvl w:ilvl="2">
      <w:start w:val="0"/>
      <w:numFmt w:val="bullet"/>
      <w:lvlText w:val=""/>
      <w:lvlJc w:val="left"/>
      <w:pPr>
        <w:tabs>
          <w:tab w:pos="0" w:val="num"/>
        </w:tabs>
        <w:ind w:hanging="360" w:left="2160"/>
      </w:pPr>
      <w:rPr>
        <w:rFonts w:ascii="Wingdings" w:cs="Wingdings" w:hAnsi="Wingdings" w:hint="default"/>
      </w:rPr>
    </w:lvl>
    <w:lvl w:ilvl="3">
      <w:start w:val="0"/>
      <w:numFmt w:val="bullet"/>
      <w:lvlText w:val=""/>
      <w:lvlJc w:val="left"/>
      <w:pPr>
        <w:tabs>
          <w:tab w:pos="0" w:val="num"/>
        </w:tabs>
        <w:ind w:hanging="360" w:left="2880"/>
      </w:pPr>
      <w:rPr>
        <w:rFonts w:ascii="Symbol" w:cs="Symbol" w:hAnsi="Symbol" w:hint="default"/>
      </w:rPr>
    </w:lvl>
    <w:lvl w:ilvl="4">
      <w:start w:val="0"/>
      <w:numFmt w:val="bullet"/>
      <w:lvlText w:val="o"/>
      <w:lvlJc w:val="left"/>
      <w:pPr>
        <w:tabs>
          <w:tab w:pos="0" w:val="num"/>
        </w:tabs>
        <w:ind w:hanging="360" w:left="3600"/>
      </w:pPr>
      <w:rPr>
        <w:rFonts w:ascii="Courier New" w:cs="Courier New" w:hAnsi="Courier New" w:hint="default"/>
      </w:rPr>
    </w:lvl>
    <w:lvl w:ilvl="5">
      <w:start w:val="0"/>
      <w:numFmt w:val="bullet"/>
      <w:lvlText w:val=""/>
      <w:lvlJc w:val="left"/>
      <w:pPr>
        <w:tabs>
          <w:tab w:pos="0" w:val="num"/>
        </w:tabs>
        <w:ind w:hanging="360" w:left="4320"/>
      </w:pPr>
      <w:rPr>
        <w:rFonts w:ascii="Wingdings" w:cs="Wingdings" w:hAnsi="Wingdings" w:hint="default"/>
      </w:rPr>
    </w:lvl>
    <w:lvl w:ilvl="6">
      <w:start w:val="0"/>
      <w:numFmt w:val="bullet"/>
      <w:lvlText w:val=""/>
      <w:lvlJc w:val="left"/>
      <w:pPr>
        <w:tabs>
          <w:tab w:pos="0" w:val="num"/>
        </w:tabs>
        <w:ind w:hanging="360" w:left="5040"/>
      </w:pPr>
      <w:rPr>
        <w:rFonts w:ascii="Symbol" w:cs="Symbol" w:hAnsi="Symbol" w:hint="default"/>
      </w:rPr>
    </w:lvl>
    <w:lvl w:ilvl="7">
      <w:start w:val="0"/>
      <w:numFmt w:val="bullet"/>
      <w:lvlText w:val="o"/>
      <w:lvlJc w:val="left"/>
      <w:pPr>
        <w:tabs>
          <w:tab w:pos="0" w:val="num"/>
        </w:tabs>
        <w:ind w:hanging="360" w:left="5760"/>
      </w:pPr>
      <w:rPr>
        <w:rFonts w:ascii="Courier New" w:cs="Courier New" w:hAnsi="Courier New" w:hint="default"/>
      </w:rPr>
    </w:lvl>
    <w:lvl w:ilvl="8">
      <w:start w:val="0"/>
      <w:numFmt w:val="bullet"/>
      <w:lvlText w:val=""/>
      <w:lvlJc w:val="left"/>
      <w:pPr>
        <w:tabs>
          <w:tab w:pos="0" w:val="num"/>
        </w:tabs>
        <w:ind w:hanging="360" w:left="6480"/>
      </w:pPr>
      <w:rPr>
        <w:rFonts w:ascii="Wingdings" w:cs="Wingdings" w:hAnsi="Wingdings" w:hint="default"/>
      </w:rPr>
    </w:lvl>
  </w:abstractNum>
  <w:abstractNum w:abstractNumId="12">
    <w:lvl w:ilvl="0">
      <w:numFmt w:val="bullet"/>
      <w:lvlText w:val=""/>
      <w:lvlJc w:val="left"/>
      <w:pPr>
        <w:tabs>
          <w:tab w:pos="0" w:val="num"/>
        </w:tabs>
        <w:ind w:hanging="360" w:left="720"/>
      </w:pPr>
      <w:rPr>
        <w:rFonts w:ascii="Symbol" w:cs="Symbol" w:hAnsi="Symbol" w:hint="default"/>
      </w:rPr>
    </w:lvl>
    <w:lvl w:ilvl="1">
      <w:start w:val="0"/>
      <w:numFmt w:val="bullet"/>
      <w:lvlText w:val="o"/>
      <w:lvlJc w:val="left"/>
      <w:pPr>
        <w:tabs>
          <w:tab w:pos="0" w:val="num"/>
        </w:tabs>
        <w:ind w:hanging="360" w:left="1440"/>
      </w:pPr>
      <w:rPr>
        <w:rFonts w:ascii="Courier New" w:cs="Courier New" w:hAnsi="Courier New" w:hint="default"/>
      </w:rPr>
    </w:lvl>
    <w:lvl w:ilvl="2">
      <w:start w:val="0"/>
      <w:numFmt w:val="bullet"/>
      <w:lvlText w:val=""/>
      <w:lvlJc w:val="left"/>
      <w:pPr>
        <w:tabs>
          <w:tab w:pos="0" w:val="num"/>
        </w:tabs>
        <w:ind w:hanging="360" w:left="2160"/>
      </w:pPr>
      <w:rPr>
        <w:rFonts w:ascii="Wingdings" w:cs="Wingdings" w:hAnsi="Wingdings" w:hint="default"/>
      </w:rPr>
    </w:lvl>
    <w:lvl w:ilvl="3">
      <w:start w:val="0"/>
      <w:numFmt w:val="bullet"/>
      <w:lvlText w:val=""/>
      <w:lvlJc w:val="left"/>
      <w:pPr>
        <w:tabs>
          <w:tab w:pos="0" w:val="num"/>
        </w:tabs>
        <w:ind w:hanging="360" w:left="2880"/>
      </w:pPr>
      <w:rPr>
        <w:rFonts w:ascii="Symbol" w:cs="Symbol" w:hAnsi="Symbol" w:hint="default"/>
      </w:rPr>
    </w:lvl>
    <w:lvl w:ilvl="4">
      <w:start w:val="0"/>
      <w:numFmt w:val="bullet"/>
      <w:lvlText w:val="o"/>
      <w:lvlJc w:val="left"/>
      <w:pPr>
        <w:tabs>
          <w:tab w:pos="0" w:val="num"/>
        </w:tabs>
        <w:ind w:hanging="360" w:left="3600"/>
      </w:pPr>
      <w:rPr>
        <w:rFonts w:ascii="Courier New" w:cs="Courier New" w:hAnsi="Courier New" w:hint="default"/>
      </w:rPr>
    </w:lvl>
    <w:lvl w:ilvl="5">
      <w:start w:val="0"/>
      <w:numFmt w:val="bullet"/>
      <w:lvlText w:val=""/>
      <w:lvlJc w:val="left"/>
      <w:pPr>
        <w:tabs>
          <w:tab w:pos="0" w:val="num"/>
        </w:tabs>
        <w:ind w:hanging="360" w:left="4320"/>
      </w:pPr>
      <w:rPr>
        <w:rFonts w:ascii="Wingdings" w:cs="Wingdings" w:hAnsi="Wingdings" w:hint="default"/>
      </w:rPr>
    </w:lvl>
    <w:lvl w:ilvl="6">
      <w:start w:val="0"/>
      <w:numFmt w:val="bullet"/>
      <w:lvlText w:val=""/>
      <w:lvlJc w:val="left"/>
      <w:pPr>
        <w:tabs>
          <w:tab w:pos="0" w:val="num"/>
        </w:tabs>
        <w:ind w:hanging="360" w:left="5040"/>
      </w:pPr>
      <w:rPr>
        <w:rFonts w:ascii="Symbol" w:cs="Symbol" w:hAnsi="Symbol" w:hint="default"/>
      </w:rPr>
    </w:lvl>
    <w:lvl w:ilvl="7">
      <w:start w:val="0"/>
      <w:numFmt w:val="bullet"/>
      <w:lvlText w:val="o"/>
      <w:lvlJc w:val="left"/>
      <w:pPr>
        <w:tabs>
          <w:tab w:pos="0" w:val="num"/>
        </w:tabs>
        <w:ind w:hanging="360" w:left="5760"/>
      </w:pPr>
      <w:rPr>
        <w:rFonts w:ascii="Courier New" w:cs="Courier New" w:hAnsi="Courier New" w:hint="default"/>
      </w:rPr>
    </w:lvl>
    <w:lvl w:ilvl="8">
      <w:start w:val="0"/>
      <w:numFmt w:val="bullet"/>
      <w:lvlText w:val=""/>
      <w:lvlJc w:val="left"/>
      <w:pPr>
        <w:tabs>
          <w:tab w:pos="0" w:val="num"/>
        </w:tabs>
        <w:ind w:hanging="360" w:left="6480"/>
      </w:pPr>
      <w:rPr>
        <w:rFonts w:ascii="Wingdings" w:cs="Wingdings" w:hAnsi="Wingdings" w:hint="default"/>
      </w:rPr>
    </w:lvl>
  </w:abstractNum>
  <w:abstractNum w:abstractNumId="13">
    <w:lvl w:ilvl="0">
      <w:numFmt w:val="bullet"/>
      <w:lvlText w:val=""/>
      <w:lvlJc w:val="left"/>
      <w:pPr>
        <w:tabs>
          <w:tab w:pos="0" w:val="num"/>
        </w:tabs>
        <w:ind w:hanging="360" w:left="720"/>
      </w:pPr>
      <w:rPr>
        <w:rFonts w:ascii="Symbol" w:cs="Symbol" w:hAnsi="Symbol" w:hint="default"/>
      </w:rPr>
    </w:lvl>
    <w:lvl w:ilvl="1">
      <w:start w:val="0"/>
      <w:numFmt w:val="bullet"/>
      <w:lvlText w:val="o"/>
      <w:lvlJc w:val="left"/>
      <w:pPr>
        <w:tabs>
          <w:tab w:pos="0" w:val="num"/>
        </w:tabs>
        <w:ind w:hanging="360" w:left="1440"/>
      </w:pPr>
      <w:rPr>
        <w:rFonts w:ascii="Courier New" w:cs="Courier New" w:hAnsi="Courier New" w:hint="default"/>
      </w:rPr>
    </w:lvl>
    <w:lvl w:ilvl="2">
      <w:start w:val="0"/>
      <w:numFmt w:val="bullet"/>
      <w:lvlText w:val=""/>
      <w:lvlJc w:val="left"/>
      <w:pPr>
        <w:tabs>
          <w:tab w:pos="0" w:val="num"/>
        </w:tabs>
        <w:ind w:hanging="360" w:left="2160"/>
      </w:pPr>
      <w:rPr>
        <w:rFonts w:ascii="Wingdings" w:cs="Wingdings" w:hAnsi="Wingdings" w:hint="default"/>
      </w:rPr>
    </w:lvl>
    <w:lvl w:ilvl="3">
      <w:start w:val="0"/>
      <w:numFmt w:val="bullet"/>
      <w:lvlText w:val=""/>
      <w:lvlJc w:val="left"/>
      <w:pPr>
        <w:tabs>
          <w:tab w:pos="0" w:val="num"/>
        </w:tabs>
        <w:ind w:hanging="360" w:left="2880"/>
      </w:pPr>
      <w:rPr>
        <w:rFonts w:ascii="Symbol" w:cs="Symbol" w:hAnsi="Symbol" w:hint="default"/>
      </w:rPr>
    </w:lvl>
    <w:lvl w:ilvl="4">
      <w:start w:val="0"/>
      <w:numFmt w:val="bullet"/>
      <w:lvlText w:val="o"/>
      <w:lvlJc w:val="left"/>
      <w:pPr>
        <w:tabs>
          <w:tab w:pos="0" w:val="num"/>
        </w:tabs>
        <w:ind w:hanging="360" w:left="3600"/>
      </w:pPr>
      <w:rPr>
        <w:rFonts w:ascii="Courier New" w:cs="Courier New" w:hAnsi="Courier New" w:hint="default"/>
      </w:rPr>
    </w:lvl>
    <w:lvl w:ilvl="5">
      <w:start w:val="0"/>
      <w:numFmt w:val="bullet"/>
      <w:lvlText w:val=""/>
      <w:lvlJc w:val="left"/>
      <w:pPr>
        <w:tabs>
          <w:tab w:pos="0" w:val="num"/>
        </w:tabs>
        <w:ind w:hanging="360" w:left="4320"/>
      </w:pPr>
      <w:rPr>
        <w:rFonts w:ascii="Wingdings" w:cs="Wingdings" w:hAnsi="Wingdings" w:hint="default"/>
      </w:rPr>
    </w:lvl>
    <w:lvl w:ilvl="6">
      <w:start w:val="0"/>
      <w:numFmt w:val="bullet"/>
      <w:lvlText w:val=""/>
      <w:lvlJc w:val="left"/>
      <w:pPr>
        <w:tabs>
          <w:tab w:pos="0" w:val="num"/>
        </w:tabs>
        <w:ind w:hanging="360" w:left="5040"/>
      </w:pPr>
      <w:rPr>
        <w:rFonts w:ascii="Symbol" w:cs="Symbol" w:hAnsi="Symbol" w:hint="default"/>
      </w:rPr>
    </w:lvl>
    <w:lvl w:ilvl="7">
      <w:start w:val="0"/>
      <w:numFmt w:val="bullet"/>
      <w:lvlText w:val="o"/>
      <w:lvlJc w:val="left"/>
      <w:pPr>
        <w:tabs>
          <w:tab w:pos="0" w:val="num"/>
        </w:tabs>
        <w:ind w:hanging="360" w:left="5760"/>
      </w:pPr>
      <w:rPr>
        <w:rFonts w:ascii="Courier New" w:cs="Courier New" w:hAnsi="Courier New" w:hint="default"/>
      </w:rPr>
    </w:lvl>
    <w:lvl w:ilvl="8">
      <w:start w:val="0"/>
      <w:numFmt w:val="bullet"/>
      <w:lvlText w:val=""/>
      <w:lvlJc w:val="left"/>
      <w:pPr>
        <w:tabs>
          <w:tab w:pos="0" w:val="num"/>
        </w:tabs>
        <w:ind w:hanging="360" w:left="6480"/>
      </w:pPr>
      <w:rPr>
        <w:rFonts w:ascii="Wingdings" w:cs="Wingdings" w:hAnsi="Wingdings" w:hint="default"/>
      </w:rPr>
    </w:lvl>
  </w:abstractNum>
  <w:abstractNum w:abstractNumId="14">
    <w:lvl w:ilvl="0">
      <w:numFmt w:val="bullet"/>
      <w:lvlText w:val=""/>
      <w:lvlJc w:val="left"/>
      <w:pPr>
        <w:tabs>
          <w:tab w:pos="0" w:val="num"/>
        </w:tabs>
        <w:ind w:hanging="360" w:left="720"/>
      </w:pPr>
      <w:rPr>
        <w:rFonts w:ascii="Symbol" w:cs="Symbol" w:hAnsi="Symbol" w:hint="default"/>
      </w:rPr>
    </w:lvl>
    <w:lvl w:ilvl="1">
      <w:start w:val="0"/>
      <w:numFmt w:val="bullet"/>
      <w:lvlText w:val="o"/>
      <w:lvlJc w:val="left"/>
      <w:pPr>
        <w:tabs>
          <w:tab w:pos="0" w:val="num"/>
        </w:tabs>
        <w:ind w:hanging="360" w:left="1440"/>
      </w:pPr>
      <w:rPr>
        <w:rFonts w:ascii="Courier New" w:cs="Courier New" w:hAnsi="Courier New" w:hint="default"/>
      </w:rPr>
    </w:lvl>
    <w:lvl w:ilvl="2">
      <w:start w:val="0"/>
      <w:numFmt w:val="bullet"/>
      <w:lvlText w:val=""/>
      <w:lvlJc w:val="left"/>
      <w:pPr>
        <w:tabs>
          <w:tab w:pos="0" w:val="num"/>
        </w:tabs>
        <w:ind w:hanging="360" w:left="2160"/>
      </w:pPr>
      <w:rPr>
        <w:rFonts w:ascii="Wingdings" w:cs="Wingdings" w:hAnsi="Wingdings" w:hint="default"/>
      </w:rPr>
    </w:lvl>
    <w:lvl w:ilvl="3">
      <w:start w:val="0"/>
      <w:numFmt w:val="bullet"/>
      <w:lvlText w:val=""/>
      <w:lvlJc w:val="left"/>
      <w:pPr>
        <w:tabs>
          <w:tab w:pos="0" w:val="num"/>
        </w:tabs>
        <w:ind w:hanging="360" w:left="2880"/>
      </w:pPr>
      <w:rPr>
        <w:rFonts w:ascii="Symbol" w:cs="Symbol" w:hAnsi="Symbol" w:hint="default"/>
      </w:rPr>
    </w:lvl>
    <w:lvl w:ilvl="4">
      <w:start w:val="0"/>
      <w:numFmt w:val="bullet"/>
      <w:lvlText w:val="o"/>
      <w:lvlJc w:val="left"/>
      <w:pPr>
        <w:tabs>
          <w:tab w:pos="0" w:val="num"/>
        </w:tabs>
        <w:ind w:hanging="360" w:left="3600"/>
      </w:pPr>
      <w:rPr>
        <w:rFonts w:ascii="Courier New" w:cs="Courier New" w:hAnsi="Courier New" w:hint="default"/>
      </w:rPr>
    </w:lvl>
    <w:lvl w:ilvl="5">
      <w:start w:val="0"/>
      <w:numFmt w:val="bullet"/>
      <w:lvlText w:val=""/>
      <w:lvlJc w:val="left"/>
      <w:pPr>
        <w:tabs>
          <w:tab w:pos="0" w:val="num"/>
        </w:tabs>
        <w:ind w:hanging="360" w:left="4320"/>
      </w:pPr>
      <w:rPr>
        <w:rFonts w:ascii="Wingdings" w:cs="Wingdings" w:hAnsi="Wingdings" w:hint="default"/>
      </w:rPr>
    </w:lvl>
    <w:lvl w:ilvl="6">
      <w:start w:val="0"/>
      <w:numFmt w:val="bullet"/>
      <w:lvlText w:val=""/>
      <w:lvlJc w:val="left"/>
      <w:pPr>
        <w:tabs>
          <w:tab w:pos="0" w:val="num"/>
        </w:tabs>
        <w:ind w:hanging="360" w:left="5040"/>
      </w:pPr>
      <w:rPr>
        <w:rFonts w:ascii="Symbol" w:cs="Symbol" w:hAnsi="Symbol" w:hint="default"/>
      </w:rPr>
    </w:lvl>
    <w:lvl w:ilvl="7">
      <w:start w:val="0"/>
      <w:numFmt w:val="bullet"/>
      <w:lvlText w:val="o"/>
      <w:lvlJc w:val="left"/>
      <w:pPr>
        <w:tabs>
          <w:tab w:pos="0" w:val="num"/>
        </w:tabs>
        <w:ind w:hanging="360" w:left="5760"/>
      </w:pPr>
      <w:rPr>
        <w:rFonts w:ascii="Courier New" w:cs="Courier New" w:hAnsi="Courier New" w:hint="default"/>
      </w:rPr>
    </w:lvl>
    <w:lvl w:ilvl="8">
      <w:start w:val="0"/>
      <w:numFmt w:val="bullet"/>
      <w:lvlText w:val=""/>
      <w:lvlJc w:val="left"/>
      <w:pPr>
        <w:tabs>
          <w:tab w:pos="0" w:val="num"/>
        </w:tabs>
        <w:ind w:hanging="360" w:left="6480"/>
      </w:pPr>
      <w:rPr>
        <w:rFonts w:ascii="Wingdings" w:cs="Wingdings" w:hAnsi="Wingdings" w:hint="default"/>
      </w:rPr>
    </w:lvl>
  </w:abstractNum>
  <w:abstractNum w:abstractNumId="15">
    <w:lvl w:ilvl="0">
      <w:numFmt w:val="bullet"/>
      <w:lvlText w:val=""/>
      <w:lvlJc w:val="left"/>
      <w:pPr>
        <w:tabs>
          <w:tab w:pos="0" w:val="num"/>
        </w:tabs>
        <w:ind w:hanging="360" w:left="720"/>
      </w:pPr>
      <w:rPr>
        <w:rFonts w:ascii="Symbol" w:cs="Symbol" w:hAnsi="Symbol" w:hint="default"/>
      </w:rPr>
    </w:lvl>
    <w:lvl w:ilvl="1">
      <w:start w:val="0"/>
      <w:numFmt w:val="bullet"/>
      <w:lvlText w:val="o"/>
      <w:lvlJc w:val="left"/>
      <w:pPr>
        <w:tabs>
          <w:tab w:pos="0" w:val="num"/>
        </w:tabs>
        <w:ind w:hanging="360" w:left="1440"/>
      </w:pPr>
      <w:rPr>
        <w:rFonts w:ascii="Courier New" w:cs="Courier New" w:hAnsi="Courier New" w:hint="default"/>
      </w:rPr>
    </w:lvl>
    <w:lvl w:ilvl="2">
      <w:start w:val="0"/>
      <w:numFmt w:val="bullet"/>
      <w:lvlText w:val=""/>
      <w:lvlJc w:val="left"/>
      <w:pPr>
        <w:tabs>
          <w:tab w:pos="0" w:val="num"/>
        </w:tabs>
        <w:ind w:hanging="360" w:left="2160"/>
      </w:pPr>
      <w:rPr>
        <w:rFonts w:ascii="Wingdings" w:cs="Wingdings" w:hAnsi="Wingdings" w:hint="default"/>
      </w:rPr>
    </w:lvl>
    <w:lvl w:ilvl="3">
      <w:start w:val="0"/>
      <w:numFmt w:val="bullet"/>
      <w:lvlText w:val=""/>
      <w:lvlJc w:val="left"/>
      <w:pPr>
        <w:tabs>
          <w:tab w:pos="0" w:val="num"/>
        </w:tabs>
        <w:ind w:hanging="360" w:left="2880"/>
      </w:pPr>
      <w:rPr>
        <w:rFonts w:ascii="Symbol" w:cs="Symbol" w:hAnsi="Symbol" w:hint="default"/>
      </w:rPr>
    </w:lvl>
    <w:lvl w:ilvl="4">
      <w:start w:val="0"/>
      <w:numFmt w:val="bullet"/>
      <w:lvlText w:val="o"/>
      <w:lvlJc w:val="left"/>
      <w:pPr>
        <w:tabs>
          <w:tab w:pos="0" w:val="num"/>
        </w:tabs>
        <w:ind w:hanging="360" w:left="3600"/>
      </w:pPr>
      <w:rPr>
        <w:rFonts w:ascii="Courier New" w:cs="Courier New" w:hAnsi="Courier New" w:hint="default"/>
      </w:rPr>
    </w:lvl>
    <w:lvl w:ilvl="5">
      <w:start w:val="0"/>
      <w:numFmt w:val="bullet"/>
      <w:lvlText w:val=""/>
      <w:lvlJc w:val="left"/>
      <w:pPr>
        <w:tabs>
          <w:tab w:pos="0" w:val="num"/>
        </w:tabs>
        <w:ind w:hanging="360" w:left="4320"/>
      </w:pPr>
      <w:rPr>
        <w:rFonts w:ascii="Wingdings" w:cs="Wingdings" w:hAnsi="Wingdings" w:hint="default"/>
      </w:rPr>
    </w:lvl>
    <w:lvl w:ilvl="6">
      <w:start w:val="0"/>
      <w:numFmt w:val="bullet"/>
      <w:lvlText w:val=""/>
      <w:lvlJc w:val="left"/>
      <w:pPr>
        <w:tabs>
          <w:tab w:pos="0" w:val="num"/>
        </w:tabs>
        <w:ind w:hanging="360" w:left="5040"/>
      </w:pPr>
      <w:rPr>
        <w:rFonts w:ascii="Symbol" w:cs="Symbol" w:hAnsi="Symbol" w:hint="default"/>
      </w:rPr>
    </w:lvl>
    <w:lvl w:ilvl="7">
      <w:start w:val="0"/>
      <w:numFmt w:val="bullet"/>
      <w:lvlText w:val="o"/>
      <w:lvlJc w:val="left"/>
      <w:pPr>
        <w:tabs>
          <w:tab w:pos="0" w:val="num"/>
        </w:tabs>
        <w:ind w:hanging="360" w:left="5760"/>
      </w:pPr>
      <w:rPr>
        <w:rFonts w:ascii="Courier New" w:cs="Courier New" w:hAnsi="Courier New" w:hint="default"/>
      </w:rPr>
    </w:lvl>
    <w:lvl w:ilvl="8">
      <w:start w:val="0"/>
      <w:numFmt w:val="bullet"/>
      <w:lvlText w:val=""/>
      <w:lvlJc w:val="left"/>
      <w:pPr>
        <w:tabs>
          <w:tab w:pos="0" w:val="num"/>
        </w:tabs>
        <w:ind w:hanging="360" w:left="6480"/>
      </w:pPr>
      <w:rPr>
        <w:rFonts w:ascii="Wingdings" w:cs="Wingdings" w:hAnsi="Wingdings" w:hint="default"/>
      </w:rPr>
    </w:lvl>
  </w:abstractNum>
  <w:abstractNum w:abstractNumId="16">
    <w:lvl w:ilvl="0">
      <w:numFmt w:val="bullet"/>
      <w:lvlText w:val=""/>
      <w:lvlJc w:val="left"/>
      <w:pPr>
        <w:tabs>
          <w:tab w:pos="0" w:val="num"/>
        </w:tabs>
        <w:ind w:hanging="360" w:left="720"/>
      </w:pPr>
      <w:rPr>
        <w:rFonts w:ascii="Symbol" w:cs="Symbol" w:hAnsi="Symbol" w:hint="default"/>
      </w:rPr>
    </w:lvl>
    <w:lvl w:ilvl="1">
      <w:start w:val="0"/>
      <w:numFmt w:val="bullet"/>
      <w:lvlText w:val="o"/>
      <w:lvlJc w:val="left"/>
      <w:pPr>
        <w:tabs>
          <w:tab w:pos="0" w:val="num"/>
        </w:tabs>
        <w:ind w:hanging="360" w:left="1440"/>
      </w:pPr>
      <w:rPr>
        <w:rFonts w:ascii="Courier New" w:cs="Courier New" w:hAnsi="Courier New" w:hint="default"/>
      </w:rPr>
    </w:lvl>
    <w:lvl w:ilvl="2">
      <w:start w:val="0"/>
      <w:numFmt w:val="bullet"/>
      <w:lvlText w:val=""/>
      <w:lvlJc w:val="left"/>
      <w:pPr>
        <w:tabs>
          <w:tab w:pos="0" w:val="num"/>
        </w:tabs>
        <w:ind w:hanging="360" w:left="2160"/>
      </w:pPr>
      <w:rPr>
        <w:rFonts w:ascii="Wingdings" w:cs="Wingdings" w:hAnsi="Wingdings" w:hint="default"/>
      </w:rPr>
    </w:lvl>
    <w:lvl w:ilvl="3">
      <w:start w:val="0"/>
      <w:numFmt w:val="bullet"/>
      <w:lvlText w:val=""/>
      <w:lvlJc w:val="left"/>
      <w:pPr>
        <w:tabs>
          <w:tab w:pos="0" w:val="num"/>
        </w:tabs>
        <w:ind w:hanging="360" w:left="2880"/>
      </w:pPr>
      <w:rPr>
        <w:rFonts w:ascii="Symbol" w:cs="Symbol" w:hAnsi="Symbol" w:hint="default"/>
      </w:rPr>
    </w:lvl>
    <w:lvl w:ilvl="4">
      <w:start w:val="0"/>
      <w:numFmt w:val="bullet"/>
      <w:lvlText w:val="o"/>
      <w:lvlJc w:val="left"/>
      <w:pPr>
        <w:tabs>
          <w:tab w:pos="0" w:val="num"/>
        </w:tabs>
        <w:ind w:hanging="360" w:left="3600"/>
      </w:pPr>
      <w:rPr>
        <w:rFonts w:ascii="Courier New" w:cs="Courier New" w:hAnsi="Courier New" w:hint="default"/>
      </w:rPr>
    </w:lvl>
    <w:lvl w:ilvl="5">
      <w:start w:val="0"/>
      <w:numFmt w:val="bullet"/>
      <w:lvlText w:val=""/>
      <w:lvlJc w:val="left"/>
      <w:pPr>
        <w:tabs>
          <w:tab w:pos="0" w:val="num"/>
        </w:tabs>
        <w:ind w:hanging="360" w:left="4320"/>
      </w:pPr>
      <w:rPr>
        <w:rFonts w:ascii="Wingdings" w:cs="Wingdings" w:hAnsi="Wingdings" w:hint="default"/>
      </w:rPr>
    </w:lvl>
    <w:lvl w:ilvl="6">
      <w:start w:val="0"/>
      <w:numFmt w:val="bullet"/>
      <w:lvlText w:val=""/>
      <w:lvlJc w:val="left"/>
      <w:pPr>
        <w:tabs>
          <w:tab w:pos="0" w:val="num"/>
        </w:tabs>
        <w:ind w:hanging="360" w:left="5040"/>
      </w:pPr>
      <w:rPr>
        <w:rFonts w:ascii="Symbol" w:cs="Symbol" w:hAnsi="Symbol" w:hint="default"/>
      </w:rPr>
    </w:lvl>
    <w:lvl w:ilvl="7">
      <w:start w:val="0"/>
      <w:numFmt w:val="bullet"/>
      <w:lvlText w:val="o"/>
      <w:lvlJc w:val="left"/>
      <w:pPr>
        <w:tabs>
          <w:tab w:pos="0" w:val="num"/>
        </w:tabs>
        <w:ind w:hanging="360" w:left="5760"/>
      </w:pPr>
      <w:rPr>
        <w:rFonts w:ascii="Courier New" w:cs="Courier New" w:hAnsi="Courier New" w:hint="default"/>
      </w:rPr>
    </w:lvl>
    <w:lvl w:ilvl="8">
      <w:start w:val="0"/>
      <w:numFmt w:val="bullet"/>
      <w:lvlText w:val=""/>
      <w:lvlJc w:val="left"/>
      <w:pPr>
        <w:tabs>
          <w:tab w:pos="0" w:val="num"/>
        </w:tabs>
        <w:ind w:hanging="360" w:left="6480"/>
      </w:pPr>
      <w:rPr>
        <w:rFonts w:ascii="Wingdings" w:cs="Wingdings" w:hAnsi="Wingdings" w:hint="default"/>
      </w:rPr>
    </w:lvl>
  </w:abstractNum>
  <w:abstractNum w:abstractNumId="17">
    <w:lvl w:ilvl="0">
      <w:start w:val="1"/>
      <w:numFmt w:val="decimal"/>
      <w:lvlText w:val="%1."/>
      <w:lvlJc w:val="left"/>
      <w:pPr>
        <w:tabs>
          <w:tab w:pos="0" w:val="num"/>
        </w:tabs>
        <w:ind w:hanging="360" w:left="720"/>
      </w:pPr>
      <w:rPr/>
    </w:lvl>
    <w:lvl w:ilvl="1">
      <w:start w:val="1"/>
      <w:numFmt w:val="decimal"/>
      <w:lvlText w:val="%2."/>
      <w:lvlJc w:val="left"/>
      <w:pPr>
        <w:tabs>
          <w:tab w:pos="0" w:val="num"/>
        </w:tabs>
        <w:ind w:hanging="360" w:left="1440"/>
      </w:pPr>
      <w:rPr/>
    </w:lvl>
    <w:lvl w:ilvl="2">
      <w:start w:val="1"/>
      <w:numFmt w:val="decimal"/>
      <w:lvlText w:val="%3."/>
      <w:lvlJc w:val="left"/>
      <w:pPr>
        <w:tabs>
          <w:tab w:pos="0" w:val="num"/>
        </w:tabs>
        <w:ind w:hanging="360" w:left="2160"/>
      </w:pPr>
      <w:rPr/>
    </w:lvl>
    <w:lvl w:ilvl="3">
      <w:start w:val="1"/>
      <w:numFmt w:val="decimal"/>
      <w:lvlText w:val="%4."/>
      <w:lvlJc w:val="left"/>
      <w:pPr>
        <w:tabs>
          <w:tab w:pos="0" w:val="num"/>
        </w:tabs>
        <w:ind w:hanging="360" w:left="2880"/>
      </w:pPr>
      <w:rPr/>
    </w:lvl>
    <w:lvl w:ilvl="4">
      <w:start w:val="1"/>
      <w:numFmt w:val="decimal"/>
      <w:lvlText w:val="%5."/>
      <w:lvlJc w:val="left"/>
      <w:pPr>
        <w:tabs>
          <w:tab w:pos="0" w:val="num"/>
        </w:tabs>
        <w:ind w:hanging="360" w:left="3600"/>
      </w:pPr>
      <w:rPr/>
    </w:lvl>
    <w:lvl w:ilvl="5">
      <w:start w:val="1"/>
      <w:numFmt w:val="decimal"/>
      <w:lvlText w:val="%6."/>
      <w:lvlJc w:val="left"/>
      <w:pPr>
        <w:tabs>
          <w:tab w:pos="0" w:val="num"/>
        </w:tabs>
        <w:ind w:hanging="360" w:left="4320"/>
      </w:pPr>
      <w:rPr/>
    </w:lvl>
    <w:lvl w:ilvl="6">
      <w:start w:val="1"/>
      <w:numFmt w:val="decimal"/>
      <w:lvlText w:val="%7."/>
      <w:lvlJc w:val="left"/>
      <w:pPr>
        <w:tabs>
          <w:tab w:pos="0" w:val="num"/>
        </w:tabs>
        <w:ind w:hanging="360" w:left="5040"/>
      </w:pPr>
      <w:rPr/>
    </w:lvl>
    <w:lvl w:ilvl="7">
      <w:start w:val="1"/>
      <w:numFmt w:val="decimal"/>
      <w:lvlText w:val="%8."/>
      <w:lvlJc w:val="left"/>
      <w:pPr>
        <w:tabs>
          <w:tab w:pos="0" w:val="num"/>
        </w:tabs>
        <w:ind w:hanging="360" w:left="5760"/>
      </w:pPr>
      <w:rPr/>
    </w:lvl>
    <w:lvl w:ilvl="8">
      <w:start w:val="1"/>
      <w:numFmt w:val="decimal"/>
      <w:lvlText w:val="%9."/>
      <w:lvlJc w:val="left"/>
      <w:pPr>
        <w:tabs>
          <w:tab w:pos="0" w:val="num"/>
        </w:tabs>
        <w:ind w:hanging="360" w:left="6480"/>
      </w:pPr>
      <w:rPr/>
    </w:lvl>
  </w:abstractNum>
  <w:abstractNum w:abstractNumId="18">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7"/>
    <w:lvlOverride w:ilvl="0">
      <w:startOverride w:val="1"/>
    </w:lvlOverride>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autoHyphenation w:val="true"/>
  <w:hyphenationZone w:val="36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s>
  <w:themeFontLang w:bidi="ar-SA"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376" w:defLockedState="0" w:defQFormat="0" w:defSemiHidden="0" w:defUIPriority="0" w:defUnhideWhenUsed="0">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9103ad"/>
    <w:pPr>
      <w:widowControl/>
      <w:suppressAutoHyphens w:val="true"/>
      <w:bidi w:val="0"/>
      <w:spacing w:after="200" w:before="0"/>
      <w:jc w:val="left"/>
    </w:pPr>
    <w:rPr>
      <w:rFonts w:ascii="Calibri" w:cs="" w:cstheme="minorBidi" w:eastAsia="Aptos" w:eastAsiaTheme="minorHAnsi" w:hAnsi="Calibri"/>
      <w:color w:val="auto"/>
      <w:kern w:val="0"/>
      <w:sz w:val="28"/>
      <w:szCs w:val="24"/>
      <w:lang w:bidi="ar-SA" w:eastAsia="en-US" w:val="en-US"/>
    </w:rPr>
  </w:style>
  <w:style w:styleId="Heading1" w:type="paragraph">
    <w:name w:val="heading 1"/>
    <w:basedOn w:val="Normal"/>
    <w:next w:val="BodyText"/>
    <w:link w:val="Heading1Char"/>
    <w:uiPriority w:val="9"/>
    <w:qFormat/>
    <w:rsid w:val="00d6760e"/>
    <w:pPr>
      <w:keepNext w:val="true"/>
      <w:keepLines/>
      <w:spacing w:after="80" w:before="360"/>
      <w:outlineLvl w:val="0"/>
    </w:pPr>
    <w:rPr>
      <w:rFonts w:cs="" w:cstheme="majorBidi" w:eastAsia="" w:eastAsiaTheme="majorEastAsia"/>
      <w:b/>
      <w:color w:themeColor="text1" w:val="000000"/>
      <w:sz w:val="40"/>
      <w:szCs w:val="40"/>
    </w:rPr>
  </w:style>
  <w:style w:styleId="Heading2" w:type="paragraph">
    <w:name w:val="heading 2"/>
    <w:basedOn w:val="Normal"/>
    <w:next w:val="BodyText"/>
    <w:link w:val="Heading2Char"/>
    <w:uiPriority w:val="9"/>
    <w:unhideWhenUsed/>
    <w:qFormat/>
    <w:rsid w:val="0076149a"/>
    <w:pPr>
      <w:keepNext w:val="true"/>
      <w:keepLines/>
      <w:spacing w:after="80" w:before="160"/>
      <w:outlineLvl w:val="1"/>
    </w:pPr>
    <w:rPr>
      <w:rFonts w:cs="" w:cstheme="majorBidi" w:eastAsia="" w:eastAsiaTheme="majorEastAsia"/>
      <w:b/>
      <w:color w:themeColor="text1" w:val="000000"/>
      <w:sz w:val="36"/>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cs="" w:cstheme="majorBidi" w:eastAsia="" w:eastAsiaTheme="majorEastAsia"/>
      <w:b/>
      <w:color w:val="000000"/>
      <w:sz w:val="36"/>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cs="" w:cstheme="majorBidi" w:eastAsia=""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cs="" w:cstheme="majorBidi" w:eastAsia=""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cs="" w:cstheme="majorBidi" w:eastAsia=""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cs="" w:cstheme="majorBidi" w:eastAsia=""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cs="" w:cstheme="majorBidi" w:eastAsia=""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cs="" w:cstheme="majorBidi" w:eastAsia="" w:eastAsiaTheme="majorEastAsia"/>
      <w:color w:themeColor="text1" w:themeTint="d8" w:val="272727"/>
    </w:rPr>
  </w:style>
  <w:style w:default="1" w:styleId="DefaultParagraphFont" w:type="character">
    <w:name w:val="Default Paragraph Font"/>
    <w:uiPriority w:val="1"/>
    <w:semiHidden/>
    <w:unhideWhenUsed/>
    <w:qFormat/>
    <w:rPr/>
  </w:style>
  <w:style w:customStyle="1" w:styleId="TitleChar" w:type="character">
    <w:name w:val="Title Char"/>
    <w:basedOn w:val="DefaultParagraphFont"/>
    <w:link w:val="Title"/>
    <w:uiPriority w:val="10"/>
    <w:qFormat/>
    <w:rsid w:val="007565a7"/>
    <w:rPr>
      <w:rFonts w:ascii="Calibri" w:cs="" w:cstheme="majorBidi" w:eastAsia="" w:eastAsiaTheme="majorEastAsia" w:hAnsi="Calibri"/>
      <w:b/>
      <w:spacing w:val="-10"/>
      <w:kern w:val="2"/>
      <w:sz w:val="40"/>
      <w:szCs w:val="56"/>
    </w:rPr>
  </w:style>
  <w:style w:customStyle="1" w:styleId="SubtitleChar" w:type="character">
    <w:name w:val="Subtitle Char"/>
    <w:basedOn w:val="DefaultParagraphFont"/>
    <w:link w:val="Subtitle"/>
    <w:uiPriority w:val="11"/>
    <w:qFormat/>
    <w:rsid w:val="00d6760e"/>
    <w:rPr>
      <w:rFonts w:ascii="Calibri" w:cs="" w:cstheme="majorBidi" w:eastAsia="" w:eastAsiaTheme="majorEastAsia" w:hAnsi="Calibri"/>
      <w:color w:themeColor="text1" w:val="000000"/>
      <w:spacing w:val="15"/>
      <w:sz w:val="28"/>
      <w:szCs w:val="28"/>
    </w:rPr>
  </w:style>
  <w:style w:customStyle="1" w:styleId="Heading1Char" w:type="character">
    <w:name w:val="Heading 1 Char"/>
    <w:basedOn w:val="DefaultParagraphFont"/>
    <w:link w:val="Heading1"/>
    <w:uiPriority w:val="9"/>
    <w:qFormat/>
    <w:rsid w:val="00d6760e"/>
    <w:rPr>
      <w:rFonts w:ascii="Calibri" w:cs="" w:cstheme="majorBidi" w:eastAsia="" w:eastAsiaTheme="majorEastAsia" w:hAnsi="Calibri"/>
      <w:b/>
      <w:color w:themeColor="text1" w:val="000000"/>
      <w:sz w:val="40"/>
      <w:szCs w:val="40"/>
    </w:rPr>
  </w:style>
  <w:style w:customStyle="1" w:styleId="Heading2Char" w:type="character">
    <w:name w:val="Heading 2 Char"/>
    <w:basedOn w:val="DefaultParagraphFont"/>
    <w:link w:val="Heading2"/>
    <w:uiPriority w:val="9"/>
    <w:qFormat/>
    <w:rsid w:val="0076149a"/>
    <w:rPr>
      <w:rFonts w:ascii="Calibri" w:cs="" w:cstheme="majorBidi" w:eastAsia="" w:eastAsiaTheme="majorEastAsia" w:hAnsi="Calibri"/>
      <w:b/>
      <w:color w:themeColor="text1" w:val="000000"/>
      <w:sz w:val="36"/>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customStyle="1" w:styleId="CaptionChar" w:type="character">
    <w:name w:val="Caption Char"/>
    <w:basedOn w:val="DefaultParagraphFont"/>
    <w:link w:val="Caption"/>
    <w:qFormat/>
    <w:rPr/>
  </w:style>
  <w:style w:customStyle="1" w:styleId="VerbatimChar" w:type="character">
    <w:name w:val="Verbatim Char"/>
    <w:basedOn w:val="CaptionChar"/>
    <w:link w:val="SourceCode"/>
    <w:qFormat/>
    <w:rsid w:val="00181df9"/>
    <w:rPr>
      <w:rFonts w:ascii="Calibri" w:hAnsi="Calibri"/>
      <w:i/>
      <w:iCs/>
    </w:rPr>
  </w:style>
  <w:style w:customStyle="1" w:styleId="SectionNumber" w:type="character">
    <w:name w:val="Section Number"/>
    <w:basedOn w:val="CaptionChar"/>
    <w:qFormat/>
    <w:rPr/>
  </w:style>
  <w:style w:styleId="FootnoteCharactersuser" w:type="character">
    <w:name w:val="Footnote Characters (user)"/>
    <w:basedOn w:val="CaptionChar"/>
    <w:qFormat/>
    <w:rsid w:val="0076149a"/>
    <w:rPr>
      <w:rFonts w:ascii="Calibri" w:hAnsi="Calibri"/>
      <w:vertAlign w:val="superscript"/>
    </w:rPr>
  </w:style>
  <w:style w:styleId="FootnoteCharacters" w:type="character">
    <w:name w:val="Footnote Characters"/>
    <w:qFormat/>
    <w:rPr>
      <w:rFonts w:ascii="Calibri" w:hAnsi="Calibri"/>
      <w:vertAlign w:val="superscript"/>
    </w:rPr>
  </w:style>
  <w:style w:styleId="FootnoteReference" w:type="character">
    <w:name w:val="footnote reference"/>
    <w:rPr>
      <w:rFonts w:ascii="Calibri" w:hAnsi="Calibri"/>
      <w:vertAlign w:val="superscript"/>
    </w:rPr>
  </w:style>
  <w:style w:styleId="Hyperlink" w:type="character">
    <w:name w:val="Hyperlink"/>
    <w:basedOn w:val="CaptionChar"/>
    <w:rsid w:val="0076149a"/>
    <w:rPr>
      <w:rFonts w:ascii="Calibri" w:hAnsi="Calibri"/>
      <w:color w:themeColor="accent1" w:val="156082"/>
    </w:rPr>
  </w:style>
  <w:style w:styleId="LineNumber" w:type="character">
    <w:name w:val="line number"/>
    <w:basedOn w:val="DefaultParagraphFont"/>
    <w:rsid w:val="008e4780"/>
    <w:rPr/>
  </w:style>
  <w:style w:customStyle="1" w:styleId="KeywordTok" w:type="character">
    <w:name w:val="KeywordTok"/>
    <w:basedOn w:val="VerbatimChar"/>
    <w:qFormat/>
    <w:rPr>
      <w:rFonts w:ascii="Calibri" w:hAnsi="Calibri"/>
      <w:b/>
      <w:i/>
      <w:iCs/>
      <w:color w:val="003B4F"/>
      <w:shd w:fill="F1F3F5" w:val="clear"/>
    </w:rPr>
  </w:style>
  <w:style w:customStyle="1" w:styleId="DataTypeTok" w:type="character">
    <w:name w:val="DataTypeTok"/>
    <w:basedOn w:val="VerbatimChar"/>
    <w:qFormat/>
    <w:rPr>
      <w:rFonts w:ascii="Calibri" w:hAnsi="Calibri"/>
      <w:i/>
      <w:iCs/>
      <w:color w:val="AD0000"/>
      <w:shd w:fill="F1F3F5" w:val="clear"/>
    </w:rPr>
  </w:style>
  <w:style w:customStyle="1" w:styleId="DecValTok" w:type="character">
    <w:name w:val="DecValTok"/>
    <w:basedOn w:val="VerbatimChar"/>
    <w:qFormat/>
    <w:rPr>
      <w:rFonts w:ascii="Calibri" w:hAnsi="Calibri"/>
      <w:i/>
      <w:iCs/>
      <w:color w:val="AD0000"/>
      <w:shd w:fill="F1F3F5" w:val="clear"/>
    </w:rPr>
  </w:style>
  <w:style w:customStyle="1" w:styleId="BaseNTok" w:type="character">
    <w:name w:val="BaseNTok"/>
    <w:basedOn w:val="VerbatimChar"/>
    <w:qFormat/>
    <w:rPr>
      <w:rFonts w:ascii="Calibri" w:hAnsi="Calibri"/>
      <w:i/>
      <w:iCs/>
      <w:color w:val="AD0000"/>
      <w:shd w:fill="F1F3F5" w:val="clear"/>
    </w:rPr>
  </w:style>
  <w:style w:customStyle="1" w:styleId="FloatTok" w:type="character">
    <w:name w:val="FloatTok"/>
    <w:basedOn w:val="VerbatimChar"/>
    <w:qFormat/>
    <w:rPr>
      <w:rFonts w:ascii="Calibri" w:hAnsi="Calibri"/>
      <w:i/>
      <w:iCs/>
      <w:color w:val="AD0000"/>
      <w:shd w:fill="F1F3F5" w:val="clear"/>
    </w:rPr>
  </w:style>
  <w:style w:customStyle="1" w:styleId="ConstantTok" w:type="character">
    <w:name w:val="ConstantTok"/>
    <w:basedOn w:val="VerbatimChar"/>
    <w:qFormat/>
    <w:rPr>
      <w:rFonts w:ascii="Calibri" w:hAnsi="Calibri"/>
      <w:i/>
      <w:iCs/>
      <w:color w:val="8F5902"/>
      <w:shd w:fill="F1F3F5" w:val="clear"/>
    </w:rPr>
  </w:style>
  <w:style w:customStyle="1" w:styleId="CharTok" w:type="character">
    <w:name w:val="CharTok"/>
    <w:basedOn w:val="VerbatimChar"/>
    <w:qFormat/>
    <w:rPr>
      <w:rFonts w:ascii="Calibri" w:hAnsi="Calibri"/>
      <w:i/>
      <w:iCs/>
      <w:color w:val="20794D"/>
      <w:shd w:fill="F1F3F5" w:val="clear"/>
    </w:rPr>
  </w:style>
  <w:style w:customStyle="1" w:styleId="SpecialCharTok" w:type="character">
    <w:name w:val="SpecialCharTok"/>
    <w:basedOn w:val="VerbatimChar"/>
    <w:qFormat/>
    <w:rPr>
      <w:rFonts w:ascii="Calibri" w:hAnsi="Calibri"/>
      <w:i/>
      <w:iCs/>
      <w:color w:val="5E5E5E"/>
      <w:shd w:fill="F1F3F5" w:val="clear"/>
    </w:rPr>
  </w:style>
  <w:style w:customStyle="1" w:styleId="StringTok" w:type="character">
    <w:name w:val="StringTok"/>
    <w:basedOn w:val="VerbatimChar"/>
    <w:qFormat/>
    <w:rPr>
      <w:rFonts w:ascii="Calibri" w:hAnsi="Calibri"/>
      <w:i/>
      <w:iCs/>
      <w:color w:val="20794D"/>
      <w:shd w:fill="F1F3F5" w:val="clear"/>
    </w:rPr>
  </w:style>
  <w:style w:customStyle="1" w:styleId="VerbatimStringTok" w:type="character">
    <w:name w:val="VerbatimStringTok"/>
    <w:basedOn w:val="VerbatimChar"/>
    <w:qFormat/>
    <w:rPr>
      <w:rFonts w:ascii="Calibri" w:hAnsi="Calibri"/>
      <w:i/>
      <w:iCs/>
      <w:color w:val="20794D"/>
      <w:shd w:fill="F1F3F5" w:val="clear"/>
    </w:rPr>
  </w:style>
  <w:style w:customStyle="1" w:styleId="SpecialStringTok" w:type="character">
    <w:name w:val="SpecialStringTok"/>
    <w:basedOn w:val="VerbatimChar"/>
    <w:qFormat/>
    <w:rPr>
      <w:rFonts w:ascii="Calibri" w:hAnsi="Calibri"/>
      <w:i/>
      <w:iCs/>
      <w:color w:val="20794D"/>
      <w:shd w:fill="F1F3F5" w:val="clear"/>
    </w:rPr>
  </w:style>
  <w:style w:customStyle="1" w:styleId="ImportTok" w:type="character">
    <w:name w:val="ImportTok"/>
    <w:basedOn w:val="VerbatimChar"/>
    <w:qFormat/>
    <w:rPr>
      <w:rFonts w:ascii="Calibri" w:hAnsi="Calibri"/>
      <w:i/>
      <w:iCs/>
      <w:color w:val="00769E"/>
      <w:shd w:fill="F1F3F5" w:val="clear"/>
    </w:rPr>
  </w:style>
  <w:style w:customStyle="1" w:styleId="CommentTok" w:type="character">
    <w:name w:val="CommentTok"/>
    <w:basedOn w:val="VerbatimChar"/>
    <w:qFormat/>
    <w:rPr>
      <w:rFonts w:ascii="Calibri" w:hAnsi="Calibri"/>
      <w:i/>
      <w:iCs/>
      <w:color w:val="5E5E5E"/>
      <w:shd w:fill="F1F3F5" w:val="clear"/>
    </w:rPr>
  </w:style>
  <w:style w:customStyle="1" w:styleId="DocumentationTok" w:type="character">
    <w:name w:val="DocumentationTok"/>
    <w:basedOn w:val="VerbatimChar"/>
    <w:qFormat/>
    <w:rPr>
      <w:rFonts w:ascii="Calibri" w:hAnsi="Calibri"/>
      <w:i w:val="false"/>
      <w:iCs/>
      <w:color w:val="5E5E5E"/>
      <w:shd w:fill="F1F3F5" w:val="clear"/>
    </w:rPr>
  </w:style>
  <w:style w:customStyle="1" w:styleId="AnnotationTok" w:type="character">
    <w:name w:val="AnnotationTok"/>
    <w:basedOn w:val="VerbatimChar"/>
    <w:qFormat/>
    <w:rPr>
      <w:rFonts w:ascii="Calibri" w:hAnsi="Calibri"/>
      <w:i/>
      <w:iCs/>
      <w:color w:val="5E5E5E"/>
      <w:shd w:fill="F1F3F5" w:val="clear"/>
    </w:rPr>
  </w:style>
  <w:style w:customStyle="1" w:styleId="CommentVarTok" w:type="character">
    <w:name w:val="CommentVarTok"/>
    <w:basedOn w:val="VerbatimChar"/>
    <w:qFormat/>
    <w:rPr>
      <w:rFonts w:ascii="Calibri" w:hAnsi="Calibri"/>
      <w:i w:val="false"/>
      <w:iCs/>
      <w:color w:val="5E5E5E"/>
      <w:shd w:fill="F1F3F5" w:val="clear"/>
    </w:rPr>
  </w:style>
  <w:style w:customStyle="1" w:styleId="OtherTok" w:type="character">
    <w:name w:val="OtherTok"/>
    <w:basedOn w:val="VerbatimChar"/>
    <w:qFormat/>
    <w:rPr>
      <w:rFonts w:ascii="Calibri" w:hAnsi="Calibri"/>
      <w:i/>
      <w:iCs/>
      <w:color w:val="003B4F"/>
      <w:shd w:fill="F1F3F5" w:val="clear"/>
    </w:rPr>
  </w:style>
  <w:style w:customStyle="1" w:styleId="FunctionTok" w:type="character">
    <w:name w:val="FunctionTok"/>
    <w:basedOn w:val="VerbatimChar"/>
    <w:qFormat/>
    <w:rPr>
      <w:rFonts w:ascii="Calibri" w:hAnsi="Calibri"/>
      <w:i/>
      <w:iCs/>
      <w:color w:val="4758AB"/>
      <w:shd w:fill="F1F3F5" w:val="clear"/>
    </w:rPr>
  </w:style>
  <w:style w:customStyle="1" w:styleId="VariableTok" w:type="character">
    <w:name w:val="VariableTok"/>
    <w:basedOn w:val="VerbatimChar"/>
    <w:qFormat/>
    <w:rPr>
      <w:rFonts w:ascii="Calibri" w:hAnsi="Calibri"/>
      <w:i/>
      <w:iCs/>
      <w:color w:val="111111"/>
      <w:shd w:fill="F1F3F5" w:val="clear"/>
    </w:rPr>
  </w:style>
  <w:style w:customStyle="1" w:styleId="ControlFlowTok" w:type="character">
    <w:name w:val="ControlFlowTok"/>
    <w:basedOn w:val="VerbatimChar"/>
    <w:qFormat/>
    <w:rPr>
      <w:rFonts w:ascii="Calibri" w:hAnsi="Calibri"/>
      <w:b/>
      <w:i/>
      <w:iCs/>
      <w:color w:val="003B4F"/>
      <w:shd w:fill="F1F3F5" w:val="clear"/>
    </w:rPr>
  </w:style>
  <w:style w:customStyle="1" w:styleId="OperatorTok" w:type="character">
    <w:name w:val="OperatorTok"/>
    <w:basedOn w:val="VerbatimChar"/>
    <w:qFormat/>
    <w:rPr>
      <w:rFonts w:ascii="Calibri" w:hAnsi="Calibri"/>
      <w:i/>
      <w:iCs/>
      <w:color w:val="5E5E5E"/>
      <w:shd w:fill="F1F3F5" w:val="clear"/>
    </w:rPr>
  </w:style>
  <w:style w:customStyle="1" w:styleId="BuiltInTok" w:type="character">
    <w:name w:val="BuiltInTok"/>
    <w:basedOn w:val="VerbatimChar"/>
    <w:qFormat/>
    <w:rPr>
      <w:rFonts w:ascii="Calibri" w:hAnsi="Calibri"/>
      <w:i/>
      <w:iCs/>
      <w:color w:val="003B4F"/>
      <w:shd w:fill="F1F3F5" w:val="clear"/>
    </w:rPr>
  </w:style>
  <w:style w:customStyle="1" w:styleId="ExtensionTok" w:type="character">
    <w:name w:val="ExtensionTok"/>
    <w:basedOn w:val="VerbatimChar"/>
    <w:qFormat/>
    <w:rPr>
      <w:rFonts w:ascii="Calibri" w:hAnsi="Calibri"/>
      <w:i/>
      <w:iCs/>
      <w:color w:val="003B4F"/>
      <w:shd w:fill="F1F3F5" w:val="clear"/>
    </w:rPr>
  </w:style>
  <w:style w:customStyle="1" w:styleId="PreprocessorTok" w:type="character">
    <w:name w:val="PreprocessorTok"/>
    <w:basedOn w:val="VerbatimChar"/>
    <w:qFormat/>
    <w:rPr>
      <w:rFonts w:ascii="Calibri" w:hAnsi="Calibri"/>
      <w:i/>
      <w:iCs/>
      <w:color w:val="AD0000"/>
      <w:shd w:fill="F1F3F5" w:val="clear"/>
    </w:rPr>
  </w:style>
  <w:style w:customStyle="1" w:styleId="AttributeTok" w:type="character">
    <w:name w:val="AttributeTok"/>
    <w:basedOn w:val="VerbatimChar"/>
    <w:qFormat/>
    <w:rPr>
      <w:rFonts w:ascii="Calibri" w:hAnsi="Calibri"/>
      <w:i/>
      <w:iCs/>
      <w:color w:val="657422"/>
      <w:shd w:fill="F1F3F5" w:val="clear"/>
    </w:rPr>
  </w:style>
  <w:style w:customStyle="1" w:styleId="RegionMarkerTok" w:type="character">
    <w:name w:val="RegionMarkerTok"/>
    <w:basedOn w:val="VerbatimChar"/>
    <w:qFormat/>
    <w:rPr>
      <w:rFonts w:ascii="Calibri" w:hAnsi="Calibri"/>
      <w:i/>
      <w:iCs/>
      <w:color w:val="003B4F"/>
      <w:shd w:fill="F1F3F5" w:val="clear"/>
    </w:rPr>
  </w:style>
  <w:style w:customStyle="1" w:styleId="InformationTok" w:type="character">
    <w:name w:val="InformationTok"/>
    <w:basedOn w:val="VerbatimChar"/>
    <w:qFormat/>
    <w:rPr>
      <w:rFonts w:ascii="Calibri" w:hAnsi="Calibri"/>
      <w:i/>
      <w:iCs/>
      <w:color w:val="5E5E5E"/>
      <w:shd w:fill="F1F3F5" w:val="clear"/>
    </w:rPr>
  </w:style>
  <w:style w:customStyle="1" w:styleId="WarningTok" w:type="character">
    <w:name w:val="WarningTok"/>
    <w:basedOn w:val="VerbatimChar"/>
    <w:qFormat/>
    <w:rPr>
      <w:rFonts w:ascii="Calibri" w:hAnsi="Calibri"/>
      <w:i w:val="false"/>
      <w:iCs/>
      <w:color w:val="5E5E5E"/>
      <w:shd w:fill="F1F3F5" w:val="clear"/>
    </w:rPr>
  </w:style>
  <w:style w:customStyle="1" w:styleId="AlertTok" w:type="character">
    <w:name w:val="AlertTok"/>
    <w:basedOn w:val="VerbatimChar"/>
    <w:qFormat/>
    <w:rPr>
      <w:rFonts w:ascii="Calibri" w:hAnsi="Calibri"/>
      <w:i/>
      <w:iCs/>
      <w:color w:val="AD0000"/>
      <w:shd w:fill="F1F3F5" w:val="clear"/>
    </w:rPr>
  </w:style>
  <w:style w:customStyle="1" w:styleId="ErrorTok" w:type="character">
    <w:name w:val="ErrorTok"/>
    <w:basedOn w:val="VerbatimChar"/>
    <w:qFormat/>
    <w:rPr>
      <w:rFonts w:ascii="Calibri" w:hAnsi="Calibri"/>
      <w:i/>
      <w:iCs/>
      <w:color w:val="AD0000"/>
      <w:shd w:fill="F1F3F5" w:val="clear"/>
    </w:rPr>
  </w:style>
  <w:style w:customStyle="1" w:styleId="NormalTok" w:type="character">
    <w:name w:val="NormalTok"/>
    <w:basedOn w:val="VerbatimChar"/>
    <w:qFormat/>
    <w:rPr>
      <w:rFonts w:ascii="Calibri" w:hAnsi="Calibri"/>
      <w:i/>
      <w:iCs/>
      <w:color w:val="003B4F"/>
      <w:shd w:fill="F1F3F5" w:val="clear"/>
    </w:rPr>
  </w:style>
  <w:style w:styleId="Heading" w:type="paragraph">
    <w:name w:val="Heading"/>
    <w:basedOn w:val="Normal"/>
    <w:next w:val="BodyText"/>
    <w:qFormat/>
    <w:pPr>
      <w:keepNext w:val="true"/>
      <w:spacing w:after="120" w:before="240"/>
    </w:pPr>
    <w:rPr>
      <w:rFonts w:ascii="Liberation Sans" w:cs="Noto Sans Arabic" w:eastAsia="Noto Sans CJK SC" w:hAnsi="Liberation Sans"/>
      <w:sz w:val="28"/>
      <w:szCs w:val="28"/>
    </w:rPr>
  </w:style>
  <w:style w:styleId="BodyText" w:type="paragraph">
    <w:name w:val="Body Text"/>
    <w:basedOn w:val="Normal"/>
    <w:qFormat/>
    <w:rsid w:val="00cf67b6"/>
    <w:pPr>
      <w:spacing w:after="180" w:before="180"/>
      <w:jc w:val="both"/>
    </w:pPr>
    <w:rPr>
      <w:color w:themeColor="text1" w:val="000000"/>
    </w:rPr>
  </w:style>
  <w:style w:styleId="List" w:type="paragraph">
    <w:name w:val="List"/>
    <w:basedOn w:val="BodyText"/>
    <w:pPr/>
    <w:rPr>
      <w:rFonts w:cs="Noto Sans Arabic"/>
    </w:rPr>
  </w:style>
  <w:style w:styleId="Caption" w:type="paragraph">
    <w:name w:val="caption"/>
    <w:basedOn w:val="Normal"/>
    <w:link w:val="CaptionChar"/>
    <w:qFormat/>
    <w:pPr>
      <w:spacing w:after="120" w:before="0"/>
    </w:pPr>
    <w:rPr>
      <w:i/>
    </w:rPr>
  </w:style>
  <w:style w:styleId="Index" w:type="paragraph">
    <w:name w:val="Index"/>
    <w:basedOn w:val="Normal"/>
    <w:qFormat/>
    <w:pPr>
      <w:suppressLineNumbers/>
    </w:pPr>
    <w:rPr>
      <w:rFonts w:cs="Noto Sans Arabic"/>
    </w:rPr>
  </w:style>
  <w:style w:customStyle="1" w:styleId="FirstParagraph" w:type="paragraph">
    <w:name w:val="First Paragraph"/>
    <w:basedOn w:val="BodyText"/>
    <w:next w:val="BodyText"/>
    <w:qFormat/>
    <w:rsid w:val="00917f3d"/>
    <w:pPr>
      <w:spacing w:line="480" w:lineRule="auto"/>
    </w:pPr>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7565a7"/>
    <w:pPr>
      <w:spacing w:after="80" w:before="0" w:line="480" w:lineRule="auto"/>
      <w:contextualSpacing/>
      <w:jc w:val="both"/>
    </w:pPr>
    <w:rPr>
      <w:rFonts w:cs="" w:cstheme="majorBidi" w:eastAsia="" w:eastAsiaTheme="majorEastAsia"/>
      <w:b/>
      <w:spacing w:val="-10"/>
      <w:kern w:val="2"/>
      <w:sz w:val="40"/>
      <w:szCs w:val="56"/>
    </w:rPr>
  </w:style>
  <w:style w:styleId="Subtitle" w:type="paragraph">
    <w:name w:val="Subtitle"/>
    <w:basedOn w:val="Normal"/>
    <w:next w:val="BodyText"/>
    <w:link w:val="SubtitleChar"/>
    <w:uiPriority w:val="11"/>
    <w:qFormat/>
    <w:rsid w:val="00d6760e"/>
    <w:pPr/>
    <w:rPr>
      <w:rFonts w:cs="" w:cstheme="majorBidi" w:eastAsia="" w:eastAsiaTheme="majorEastAsia"/>
      <w:color w:themeColor="text1" w:val="000000"/>
      <w:spacing w:val="15"/>
      <w:szCs w:val="28"/>
    </w:rPr>
  </w:style>
  <w:style w:customStyle="1" w:styleId="Author" w:type="paragraph">
    <w:name w:val="Author"/>
    <w:next w:val="BodyText"/>
    <w:qFormat/>
    <w:rsid w:val="00d6760e"/>
    <w:pPr>
      <w:keepNext w:val="true"/>
      <w:keepLines/>
      <w:widowControl/>
      <w:suppressAutoHyphens w:val="true"/>
      <w:bidi w:val="0"/>
      <w:spacing w:after="200" w:before="0"/>
      <w:jc w:val="left"/>
    </w:pPr>
    <w:rPr>
      <w:rFonts w:ascii="Calibri" w:cs="Arial" w:eastAsia="Aptos" w:hAnsi="Calibri"/>
      <w:color w:themeColor="text1" w:val="000000"/>
      <w:kern w:val="0"/>
      <w:sz w:val="24"/>
      <w:szCs w:val="24"/>
      <w:lang w:bidi="ar-SA" w:eastAsia="en-US" w:val="en-US"/>
    </w:rPr>
  </w:style>
  <w:style w:styleId="Date" w:type="paragraph">
    <w:name w:val="Date"/>
    <w:next w:val="BodyText"/>
    <w:qFormat/>
    <w:rsid w:val="00d6760e"/>
    <w:pPr>
      <w:keepNext w:val="true"/>
      <w:keepLines/>
      <w:widowControl/>
      <w:suppressAutoHyphens w:val="true"/>
      <w:bidi w:val="0"/>
      <w:spacing w:after="200" w:before="0"/>
      <w:jc w:val="left"/>
    </w:pPr>
    <w:rPr>
      <w:rFonts w:ascii="Calibri" w:cs="Arial" w:eastAsia="Aptos" w:hAnsi="Calibri"/>
      <w:color w:themeColor="text1" w:val="000000"/>
      <w:kern w:val="0"/>
      <w:sz w:val="24"/>
      <w:szCs w:val="24"/>
      <w:lang w:bidi="ar-SA" w:eastAsia="en-US" w:val="en-US"/>
    </w:rPr>
  </w:style>
  <w:style w:customStyle="1" w:styleId="AbstractTitle" w:type="paragraph">
    <w:name w:val="Abstract Title"/>
    <w:basedOn w:val="Normal"/>
    <w:next w:val="Abstract"/>
    <w:qFormat/>
    <w:pPr>
      <w:keepNext w:val="true"/>
      <w:keepLines/>
      <w:spacing w:after="0" w:before="300"/>
      <w:jc w:val="center"/>
    </w:pPr>
    <w:rPr>
      <w:b/>
      <w:color w:val="345A8A"/>
      <w:sz w:val="20"/>
      <w:szCs w:val="20"/>
    </w:rPr>
  </w:style>
  <w:style w:customStyle="1" w:styleId="Abstract" w:type="paragraph">
    <w:name w:val="Abstract"/>
    <w:basedOn w:val="Normal"/>
    <w:next w:val="BodyText"/>
    <w:qFormat/>
    <w:rsid w:val="009103ad"/>
    <w:pPr>
      <w:keepNext w:val="true"/>
      <w:keepLines/>
      <w:spacing w:after="300" w:before="100"/>
      <w:jc w:val="both"/>
    </w:pPr>
    <w:rPr>
      <w:szCs w:val="20"/>
    </w:rPr>
  </w:style>
  <w:style w:styleId="Bibliography" w:type="paragraph">
    <w:name w:val="Bibliography"/>
    <w:basedOn w:val="Normal"/>
    <w:qFormat/>
    <w:rsid w:val="00064fff"/>
    <w:pPr>
      <w:jc w:val="both"/>
    </w:pPr>
    <w:rPr>
      <w:color w:themeColor="text1" w:val="000000"/>
    </w:rPr>
  </w:style>
  <w:style w:styleId="BlockText" w:type="paragraph">
    <w:name w:val="Block Text"/>
    <w:basedOn w:val="BodyText"/>
    <w:next w:val="BodyText"/>
    <w:uiPriority w:val="9"/>
    <w:unhideWhenUsed/>
    <w:qFormat/>
    <w:pPr>
      <w:spacing w:after="100" w:before="100"/>
      <w:ind w:left="480" w:right="480"/>
    </w:pPr>
    <w:rPr/>
  </w:style>
  <w:style w:styleId="FootnoteText" w:type="paragraph">
    <w:name w:val="footnote text"/>
    <w:basedOn w:val="Normal"/>
    <w:uiPriority w:val="9"/>
    <w:unhideWhenUsed/>
    <w:qFormat/>
    <w:rsid w:val="0076149a"/>
    <w:pPr/>
    <w:rPr/>
  </w:style>
  <w:style w:customStyle="1" w:styleId="FootnoteBlockText" w:type="paragraph">
    <w:name w:val="Footnote Block Text"/>
    <w:basedOn w:val="FootnoteText"/>
    <w:next w:val="FootnoteText"/>
    <w:uiPriority w:val="9"/>
    <w:unhideWhenUsed/>
    <w:qFormat/>
    <w:pPr>
      <w:spacing w:after="100" w:before="100"/>
      <w:ind w:left="480" w:right="480"/>
    </w:pPr>
    <w:rPr/>
  </w:style>
  <w:style w:customStyle="1" w:styleId="DefinitionTerm" w:type="paragraph">
    <w:name w:val="Definition Term"/>
    <w:basedOn w:val="Normal"/>
    <w:next w:val="Definition"/>
    <w:qFormat/>
    <w:rsid w:val="009103ad"/>
    <w:pPr>
      <w:keepNext w:val="true"/>
      <w:keepLines/>
      <w:spacing w:after="0" w:before="0"/>
    </w:pPr>
    <w:rPr>
      <w:b/>
    </w:rPr>
  </w:style>
  <w:style w:customStyle="1" w:styleId="Definition" w:type="paragraph">
    <w:name w:val="Definition"/>
    <w:basedOn w:val="Normal"/>
    <w:qFormat/>
    <w:rsid w:val="009103ad"/>
    <w:pPr/>
    <w:rPr/>
  </w:style>
  <w:style w:customStyle="1" w:styleId="TableCaption" w:type="paragraph">
    <w:name w:val="Table Caption"/>
    <w:basedOn w:val="Caption"/>
    <w:qFormat/>
    <w:rsid w:val="0076149a"/>
    <w:pPr>
      <w:keepNext w:val="true"/>
    </w:pPr>
    <w:rPr/>
  </w:style>
  <w:style w:customStyle="1" w:styleId="ImageCaption" w:type="paragraph">
    <w:name w:val="Image Caption"/>
    <w:basedOn w:val="Caption"/>
    <w:qFormat/>
    <w:rsid w:val="0076149a"/>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hAnsi="Aptos Display" w:hAnsiTheme="majorHAnsi"/>
      <w:color w:themeColor="accent1" w:themeShade="bf" w:val="0F4761"/>
    </w:rPr>
  </w:style>
  <w:style w:customStyle="1" w:styleId="SourceCode" w:type="paragraph">
    <w:name w:val="Source Code"/>
    <w:basedOn w:val="Normal"/>
    <w:link w:val="VerbatimChar"/>
    <w:qFormat/>
    <w:rsid w:val="00181df9"/>
    <w:pPr>
      <w:jc w:val="both"/>
    </w:pPr>
    <w:rPr>
      <w:i/>
      <w:iCs/>
      <w:sz w:val="24"/>
    </w:rPr>
  </w:style>
  <w:style w:default="1" w:styleId="NoList" w:type="numbering">
    <w:name w:val="No List"/>
    <w:uiPriority w:val="99"/>
    <w:semiHidden/>
    <w:unhideWhenUsed/>
    <w:qFormat/>
  </w:style>
  <w:style w:default="1" w:styleId="TableNormal" w:type="table">
    <w:name w:val="Normal Table"/>
    <w:uiPriority w:val="99"/>
    <w:semiHidden/>
    <w:unhideWhenUsed/>
    <w:tblPr>
      <w:tblCellMar>
        <w:top w:type="dxa" w:w="0"/>
        <w:left w:type="dxa" w:w="108"/>
        <w:bottom w:type="dxa" w:w="0"/>
        <w:right w:type="dxa" w:w="108"/>
      </w:tblCellMar>
    </w:tblPr>
  </w:style>
  <w:style w:customStyle="1" w:styleId="Table" w:type="table">
    <w:name w:val="Table"/>
    <w:semiHidden/>
    <w:unhideWhenUsed/>
    <w:qFormat/>
    <w:tblPr>
      <w:tblCellMar>
        <w:top w:type="dxa" w:w="0"/>
        <w:left w:type="dxa" w:w="108"/>
        <w:bottom w:type="dxa" w:w="0"/>
        <w:right w:type="dxa" w:w="108"/>
      </w:tblCellMar>
    </w:tblPr>
    <w:tblStylePr w:type="firstRow">
      <w:tblPr/>
      <w:tcPr>
        <w:tcBorders>
          <w:bottom w:color="auto" w:space="0" w:sz="0" w:val="single"/>
        </w:tcBorders>
        <w:vAlign w:val="bottom"/>
      </w:tcPr>
    </w:tblStyle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37" Target="numbering.xml" /><Relationship Type="http://schemas.openxmlformats.org/officeDocument/2006/relationships/styles" Id="rId36" Target="styles.xml" /><Relationship Type="http://schemas.openxmlformats.org/officeDocument/2006/relationships/settings" Id="rId35" Target="settings.xml" /><Relationship Type="http://schemas.openxmlformats.org/officeDocument/2006/relationships/webSettings" Id="rId34" Target="webSettings.xml" /><Relationship Type="http://schemas.openxmlformats.org/officeDocument/2006/relationships/fontTable" Id="rId33" Target="fontTable.xml" /><Relationship Type="http://schemas.openxmlformats.org/officeDocument/2006/relationships/theme" Id="rId32" Target="theme/theme1.xml" /><Relationship Type="http://schemas.openxmlformats.org/officeDocument/2006/relationships/footnotes" Id="rId31" Target="footnotes.xml" /><Relationship Type="http://schemas.openxmlformats.org/officeDocument/2006/relationships/comments" Id="rId30" Target="comments.xml" /><Relationship Id="rId16" Target="media/image1.png" Type="http://schemas.openxmlformats.org/officeDocument/2006/relationships/image" /><Relationship Id="rId17" Target="media/image2.svg" Type="http://schemas.openxmlformats.org/officeDocument/2006/relationships/image" /><Relationship Id="rId18" Target="media/image3.png" Type="http://schemas.openxmlformats.org/officeDocument/2006/relationships/image" /><Relationship Id="rId19" Target="media/image4.svg" Type="http://schemas.openxmlformats.org/officeDocument/2006/relationships/image" /><Relationship Id="rId23" Target="media/image5.png" Type="http://schemas.openxmlformats.org/officeDocument/2006/relationships/image" /><Relationship Id="rId24" Target="media/image6.svg" Type="http://schemas.openxmlformats.org/officeDocument/2006/relationships/image" /><Relationship Id="rId26" Target="media/image7.png" Type="http://schemas.openxmlformats.org/officeDocument/2006/relationships/image" /><Relationship Id="rId27" Target="media/image8.svg" Type="http://schemas.openxmlformats.org/officeDocument/2006/relationships/image" /><Relationship Id="rId28" Target="media/image9.png" Type="http://schemas.openxmlformats.org/officeDocument/2006/relationships/image" /><Relationship Id="rId29" Target="media/image10.svg" Type="http://schemas.openxmlformats.org/officeDocument/2006/relationships/image" /><Relationship Type="http://schemas.openxmlformats.org/officeDocument/2006/relationships/image" Id="rId74" Target="media/rId74.png" /><Relationship Type="http://schemas.openxmlformats.org/officeDocument/2006/relationships/image" Id="rId79" Target="media/rId79.png" /><Relationship Type="http://schemas.openxmlformats.org/officeDocument/2006/relationships/image" Id="rId87" Target="media/rId87.svg" /><Relationship Type="http://schemas.openxmlformats.org/officeDocument/2006/relationships/image" Id="rId82" Target="media/rId82.svg" /><Relationship Type="http://schemas.openxmlformats.org/officeDocument/2006/relationships/image" Id="rId65" Target="media/rId65.svg" /><Relationship Type="http://schemas.openxmlformats.org/officeDocument/2006/relationships/image" Id="rId76" Target="media/rId76.svg" /><Relationship Type="http://schemas.openxmlformats.org/officeDocument/2006/relationships/image" Id="rId71" Target="media/rId71.svg" /><Relationship Type="http://schemas.openxmlformats.org/officeDocument/2006/relationships/hyperlink" Id="rId102" Target="" TargetMode="External" /><Relationship Type="http://schemas.openxmlformats.org/officeDocument/2006/relationships/hyperlink" Id="rId165" Target="http://dx.doi.org/10.1016/S0140-6736(20)30925-9" TargetMode="External" /><Relationship Type="http://schemas.openxmlformats.org/officeDocument/2006/relationships/hyperlink" Id="rId155" Target="http://dx.doi.org/10.1016/S0140-6736(24)00757-8" TargetMode="External" /><Relationship Type="http://schemas.openxmlformats.org/officeDocument/2006/relationships/hyperlink" Id="rId157" Target="http://dx.doi.org/10.1016/s0140-6736(24)00367-2" TargetMode="External" /><Relationship Type="http://schemas.openxmlformats.org/officeDocument/2006/relationships/hyperlink" Id="rId62" Target="https://bladder-cancer.ir" TargetMode="External" /><Relationship Type="http://schemas.openxmlformats.org/officeDocument/2006/relationships/hyperlink" Id="rId52" Target="https://bladder-cancer.ir/" TargetMode="External" /><Relationship Type="http://schemas.openxmlformats.org/officeDocument/2006/relationships/hyperlink" Id="rId197" Target="https://doi.org/10.1001/jamainternmed.2016.6530" TargetMode="External" /><Relationship Type="http://schemas.openxmlformats.org/officeDocument/2006/relationships/hyperlink" Id="rId161" Target="https://doi.org/10.1001/jamaoncol.2021.6987" TargetMode="External" /><Relationship Type="http://schemas.openxmlformats.org/officeDocument/2006/relationships/hyperlink" Id="rId151" Target="https://doi.org/10.1002/cam4.4917" TargetMode="External" /><Relationship Type="http://schemas.openxmlformats.org/officeDocument/2006/relationships/hyperlink" Id="rId183" Target="https://doi.org/10.1002/cncr.28416" TargetMode="External" /><Relationship Type="http://schemas.openxmlformats.org/officeDocument/2006/relationships/hyperlink" Id="rId205" Target="https://doi.org/10.1002/cncr.32594" TargetMode="External" /><Relationship Type="http://schemas.openxmlformats.org/officeDocument/2006/relationships/hyperlink" Id="rId199" Target="https://doi.org/10.1007/s10552-020-01366-1" TargetMode="External" /><Relationship Type="http://schemas.openxmlformats.org/officeDocument/2006/relationships/hyperlink" Id="rId153" Target="https://doi.org/10.1007/s11255-015-0980-6" TargetMode="External" /><Relationship Type="http://schemas.openxmlformats.org/officeDocument/2006/relationships/hyperlink" Id="rId135" Target="https://doi.org/10.1007/s40273-023-01273-8" TargetMode="External" /><Relationship Type="http://schemas.openxmlformats.org/officeDocument/2006/relationships/hyperlink" Id="rId169" Target="https://doi.org/10.1016/S0140-6736(16)30388-9" TargetMode="External" /><Relationship Type="http://schemas.openxmlformats.org/officeDocument/2006/relationships/hyperlink" Id="rId159" Target="https://doi.org/10.1016/S0140-6736(25)01635-6" TargetMode="External" /><Relationship Type="http://schemas.openxmlformats.org/officeDocument/2006/relationships/hyperlink" Id="rId133" Target="https://doi.org/10.1016/j.eururo.2014.01.006" TargetMode="External" /><Relationship Type="http://schemas.openxmlformats.org/officeDocument/2006/relationships/hyperlink" Id="rId143" Target="https://doi.org/10.1016/j.eururo.2022.11.023" TargetMode="External" /><Relationship Type="http://schemas.openxmlformats.org/officeDocument/2006/relationships/hyperlink" Id="rId145" Target="https://doi.org/10.1016/j.juro.2015.07.091" TargetMode="External" /><Relationship Type="http://schemas.openxmlformats.org/officeDocument/2006/relationships/hyperlink" Id="rId203" Target="https://doi.org/10.1016/j.juro.2017.10.011" TargetMode="External" /><Relationship Type="http://schemas.openxmlformats.org/officeDocument/2006/relationships/hyperlink" Id="rId139" Target="https://doi.org/10.1016/j.scitotenv.2019.03.290" TargetMode="External" /><Relationship Type="http://schemas.openxmlformats.org/officeDocument/2006/relationships/hyperlink" Id="rId181" Target="https://doi.org/10.1016/j.urolonc.2009.07.020" TargetMode="External" /><Relationship Type="http://schemas.openxmlformats.org/officeDocument/2006/relationships/hyperlink" Id="rId189" Target="https://doi.org/10.1038/s41389-023-00489-9" TargetMode="External" /><Relationship Type="http://schemas.openxmlformats.org/officeDocument/2006/relationships/hyperlink" Id="rId185" Target="https://doi.org/10.1038/s41585-023-00806-2" TargetMode="External" /><Relationship Type="http://schemas.openxmlformats.org/officeDocument/2006/relationships/hyperlink" Id="rId175" Target="https://doi.org/10.1038/s41598-018-19199-z" TargetMode="External" /><Relationship Type="http://schemas.openxmlformats.org/officeDocument/2006/relationships/hyperlink" Id="rId207" Target="https://doi.org/10.1038/s41598-018-29987-2" TargetMode="External" /><Relationship Type="http://schemas.openxmlformats.org/officeDocument/2006/relationships/hyperlink" Id="rId129" Target="https://doi.org/10.1038/s41598-025-92033-5" TargetMode="External" /><Relationship Type="http://schemas.openxmlformats.org/officeDocument/2006/relationships/hyperlink" Id="rId193" Target="https://doi.org/10.1093/jnci/djw099" TargetMode="External" /><Relationship Type="http://schemas.openxmlformats.org/officeDocument/2006/relationships/hyperlink" Id="rId131" Target="https://doi.org/10.1097/mou.0000000000000078" TargetMode="External" /><Relationship Type="http://schemas.openxmlformats.org/officeDocument/2006/relationships/hyperlink" Id="rId177" Target="https://doi.org/10.1186/s40779-024-00569-w" TargetMode="External" /><Relationship Type="http://schemas.openxmlformats.org/officeDocument/2006/relationships/hyperlink" Id="rId191" Target="https://doi.org/10.1200/JCO.2025.43.16_suppl.e16612" TargetMode="External" /><Relationship Type="http://schemas.openxmlformats.org/officeDocument/2006/relationships/hyperlink" Id="rId195" Target="https://doi.org/10.1289/ehp89" TargetMode="External" /><Relationship Type="http://schemas.openxmlformats.org/officeDocument/2006/relationships/hyperlink" Id="rId187" Target="https://doi.org/10.3233/blc-190221" TargetMode="External" /><Relationship Type="http://schemas.openxmlformats.org/officeDocument/2006/relationships/hyperlink" Id="rId149" Target="https://doi.org/10.3233/blc-230062" TargetMode="External" /><Relationship Type="http://schemas.openxmlformats.org/officeDocument/2006/relationships/hyperlink" Id="rId127" Target="https://doi.org/10.3322/caac.21660" TargetMode="External" /><Relationship Type="http://schemas.openxmlformats.org/officeDocument/2006/relationships/hyperlink" Id="rId141" Target="https://doi.org/10.3389/fpubh.2024.1354663" TargetMode="External" /><Relationship Type="http://schemas.openxmlformats.org/officeDocument/2006/relationships/hyperlink" Id="rId201" Target="https://doi.org/10.4111/icu.20230125" TargetMode="External" /><Relationship Type="http://schemas.openxmlformats.org/officeDocument/2006/relationships/hyperlink" Id="rId171" Target="https://doi.org/10.5281/zenodo.23814418" TargetMode="External" /><Relationship Type="http://schemas.openxmlformats.org/officeDocument/2006/relationships/hyperlink" Id="rId55" Target="https://ghdx.healthdata.org/" TargetMode="External" /><Relationship Type="http://schemas.openxmlformats.org/officeDocument/2006/relationships/hyperlink" Id="rId163" Target="https://ghdx.healthdata.org/node/548352" TargetMode="External" /><Relationship Type="http://schemas.openxmlformats.org/officeDocument/2006/relationships/hyperlink" Id="rId61" Target="https://github.com/alireza5969/gbd-bladder-cancer" TargetMode="External" /><Relationship Type="http://schemas.openxmlformats.org/officeDocument/2006/relationships/hyperlink" Id="rId104" Target="https://github.com/alireza5969/gbd-bladder-cancer/raw/refs/heads/main/output/tables/Percent%20change%201990-2021%20in%20Bladder%20cancer%20measures.docx" TargetMode="External" /><Relationship Type="http://schemas.openxmlformats.org/officeDocument/2006/relationships/hyperlink" Id="rId101" Target="https://github.com/alireza5969/gbd-bladder-cancer/raw/refs/heads/main/output/tables/percent_change_all_locations.csv" TargetMode="External" /><Relationship Type="http://schemas.openxmlformats.org/officeDocument/2006/relationships/hyperlink" Id="rId103" Target="https://github.com/alireza5969/gbd-bladder-cancer/raw/refs/heads/main/output/tables/sex_ratios_2021.csv" TargetMode="External" /><Relationship Type="http://schemas.openxmlformats.org/officeDocument/2006/relationships/hyperlink" Id="rId107" Target="https://github.com/alireza5969/gbd-bladder-cancer/tree/main/output/figures/APC%20plot%201" TargetMode="External" /><Relationship Type="http://schemas.openxmlformats.org/officeDocument/2006/relationships/hyperlink" Id="rId109" Target="https://github.com/alireza5969/gbd-bladder-cancer/tree/main/output/figures/Bump%20plot" TargetMode="External" /><Relationship Type="http://schemas.openxmlformats.org/officeDocument/2006/relationships/hyperlink" Id="rId108" Target="https://github.com/alireza5969/gbd-bladder-cancer/tree/main/output/figures/Geofacet%20plot" TargetMode="External" /><Relationship Type="http://schemas.openxmlformats.org/officeDocument/2006/relationships/hyperlink" Id="rId105" Target="https://github.com/alireza5969/gbd-bladder-cancer/tree/main/output/figures/Population%20pyramid%20-%202021" TargetMode="External" /><Relationship Type="http://schemas.openxmlformats.org/officeDocument/2006/relationships/hyperlink" Id="rId106" Target="https://github.com/alireza5969/gbd-bladder-cancer/tree/main/output/figures/Population%20pyramid%20-%20animated" TargetMode="External" /><Relationship Type="http://schemas.openxmlformats.org/officeDocument/2006/relationships/hyperlink" Id="rId48" Target="https://orcid.org/" TargetMode="External" /><Relationship Type="http://schemas.openxmlformats.org/officeDocument/2006/relationships/hyperlink" Id="rId50" Target="https://orcid.org/0000-0002-2683-2185" TargetMode="External" /><Relationship Type="http://schemas.openxmlformats.org/officeDocument/2006/relationships/hyperlink" Id="rId42" Target="https://orcid.org/0000-0002-4878-7848" TargetMode="External" /><Relationship Type="http://schemas.openxmlformats.org/officeDocument/2006/relationships/hyperlink" Id="rId40" Target="https://orcid.org/0000-0002-7950-3270" TargetMode="External" /><Relationship Type="http://schemas.openxmlformats.org/officeDocument/2006/relationships/hyperlink" Id="rId51" Target="https://orcid.org/0000-0002-8350-0531" TargetMode="External" /><Relationship Type="http://schemas.openxmlformats.org/officeDocument/2006/relationships/hyperlink" Id="rId46" Target="https://orcid.org/0000-0002-8438-4990" TargetMode="External" /><Relationship Type="http://schemas.openxmlformats.org/officeDocument/2006/relationships/hyperlink" Id="rId44" Target="https://orcid.org/0000-0002-9866-8361" TargetMode="External" /><Relationship Type="http://schemas.openxmlformats.org/officeDocument/2006/relationships/hyperlink" Id="rId125" Target="https://seer.cancer.gov/statfacts/html/urinb.html" TargetMode="External" /><Relationship Type="http://schemas.openxmlformats.org/officeDocument/2006/relationships/hyperlink" Id="rId147" Target="https://statecancerprofiles.cancer.gov/index.html" TargetMode="External" /><Relationship Type="http://schemas.openxmlformats.org/officeDocument/2006/relationships/hyperlink" Id="rId123" Target="https://www.cancer.org/research/cancer-facts-statistics/all-cancer-facts-figures/2026-cancer-facts-figures.html" TargetMode="External" /><Relationship Type="http://schemas.openxmlformats.org/officeDocument/2006/relationships/hyperlink" Id="rId179" Target="https://www.census.gov/newsroom/press-releases/2023/2020-census-demographic-profile-and-dhc.html" TargetMode="External" /><Relationship Type="http://schemas.openxmlformats.org/officeDocument/2006/relationships/hyperlink" Id="rId173" Target="https://www.sciencedirect.com/science/article/pii/S1078143911002808" TargetMode="External" /><Relationship Type="http://schemas.openxmlformats.org/officeDocument/2006/relationships/hyperlink" Id="rId137" Target="https://www.sciencedirect.com/science/article/pii/S1078143924004204" TargetMode="External" /><Relationship Type="http://schemas.openxmlformats.org/officeDocument/2006/relationships/hyperlink" Id="rId39" Target="mailto:Wassim.Kassouf.med@ssss.gouv.qc.ca" TargetMode="External" /><Relationship Type="http://schemas.openxmlformats.org/officeDocument/2006/relationships/hyperlink" Id="rId38" Target="mailto:alireza.sadeghi.md@gmail.com" TargetMode="External" /><Relationship Type="http://schemas.openxmlformats.org/officeDocument/2006/relationships/hyperlink" Id="rId45" Target="mailto:etaherim123@gmail.com" TargetMode="External" /><Relationship Type="http://schemas.openxmlformats.org/officeDocument/2006/relationships/hyperlink" Id="rId43" Target="mailto:niloofar.dehdari6021@gmail.com" TargetMode="External" /><Relationship Type="http://schemas.openxmlformats.org/officeDocument/2006/relationships/hyperlink" Id="rId41" Target="mailto:nouri.fatmh@gmail.com" TargetMode="External" /><Relationship Type="http://schemas.openxmlformats.org/officeDocument/2006/relationships/hyperlink" Id="rId47" Target="mailto:soltani732003@yahoo.com" TargetMode="External" /><Relationship Type="http://schemas.openxmlformats.org/officeDocument/2006/relationships/hyperlink" Id="rId49" Target="mailto:stbwilli@utmb.edu" TargetMode="External" /></Relationships>
</file>

<file path=word/_rels/footnotes.xml.rels><?xml version="1.0" encoding="UTF-8"?><Relationships xmlns="http://schemas.openxmlformats.org/package/2006/relationships"><Relationship Type="http://schemas.openxmlformats.org/officeDocument/2006/relationships/hyperlink" Id="rId102" Target="" TargetMode="External" /><Relationship Type="http://schemas.openxmlformats.org/officeDocument/2006/relationships/hyperlink" Id="rId165" Target="http://dx.doi.org/10.1016/S0140-6736(20)30925-9" TargetMode="External" /><Relationship Type="http://schemas.openxmlformats.org/officeDocument/2006/relationships/hyperlink" Id="rId155" Target="http://dx.doi.org/10.1016/S0140-6736(24)00757-8" TargetMode="External" /><Relationship Type="http://schemas.openxmlformats.org/officeDocument/2006/relationships/hyperlink" Id="rId157" Target="http://dx.doi.org/10.1016/s0140-6736(24)00367-2" TargetMode="External" /><Relationship Type="http://schemas.openxmlformats.org/officeDocument/2006/relationships/hyperlink" Id="rId62" Target="https://bladder-cancer.ir" TargetMode="External" /><Relationship Type="http://schemas.openxmlformats.org/officeDocument/2006/relationships/hyperlink" Id="rId52" Target="https://bladder-cancer.ir/" TargetMode="External" /><Relationship Type="http://schemas.openxmlformats.org/officeDocument/2006/relationships/hyperlink" Id="rId197" Target="https://doi.org/10.1001/jamainternmed.2016.6530" TargetMode="External" /><Relationship Type="http://schemas.openxmlformats.org/officeDocument/2006/relationships/hyperlink" Id="rId161" Target="https://doi.org/10.1001/jamaoncol.2021.6987" TargetMode="External" /><Relationship Type="http://schemas.openxmlformats.org/officeDocument/2006/relationships/hyperlink" Id="rId151" Target="https://doi.org/10.1002/cam4.4917" TargetMode="External" /><Relationship Type="http://schemas.openxmlformats.org/officeDocument/2006/relationships/hyperlink" Id="rId183" Target="https://doi.org/10.1002/cncr.28416" TargetMode="External" /><Relationship Type="http://schemas.openxmlformats.org/officeDocument/2006/relationships/hyperlink" Id="rId205" Target="https://doi.org/10.1002/cncr.32594" TargetMode="External" /><Relationship Type="http://schemas.openxmlformats.org/officeDocument/2006/relationships/hyperlink" Id="rId199" Target="https://doi.org/10.1007/s10552-020-01366-1" TargetMode="External" /><Relationship Type="http://schemas.openxmlformats.org/officeDocument/2006/relationships/hyperlink" Id="rId153" Target="https://doi.org/10.1007/s11255-015-0980-6" TargetMode="External" /><Relationship Type="http://schemas.openxmlformats.org/officeDocument/2006/relationships/hyperlink" Id="rId135" Target="https://doi.org/10.1007/s40273-023-01273-8" TargetMode="External" /><Relationship Type="http://schemas.openxmlformats.org/officeDocument/2006/relationships/hyperlink" Id="rId169" Target="https://doi.org/10.1016/S0140-6736(16)30388-9" TargetMode="External" /><Relationship Type="http://schemas.openxmlformats.org/officeDocument/2006/relationships/hyperlink" Id="rId159" Target="https://doi.org/10.1016/S0140-6736(25)01635-6" TargetMode="External" /><Relationship Type="http://schemas.openxmlformats.org/officeDocument/2006/relationships/hyperlink" Id="rId133" Target="https://doi.org/10.1016/j.eururo.2014.01.006" TargetMode="External" /><Relationship Type="http://schemas.openxmlformats.org/officeDocument/2006/relationships/hyperlink" Id="rId143" Target="https://doi.org/10.1016/j.eururo.2022.11.023" TargetMode="External" /><Relationship Type="http://schemas.openxmlformats.org/officeDocument/2006/relationships/hyperlink" Id="rId145" Target="https://doi.org/10.1016/j.juro.2015.07.091" TargetMode="External" /><Relationship Type="http://schemas.openxmlformats.org/officeDocument/2006/relationships/hyperlink" Id="rId203" Target="https://doi.org/10.1016/j.juro.2017.10.011" TargetMode="External" /><Relationship Type="http://schemas.openxmlformats.org/officeDocument/2006/relationships/hyperlink" Id="rId139" Target="https://doi.org/10.1016/j.scitotenv.2019.03.290" TargetMode="External" /><Relationship Type="http://schemas.openxmlformats.org/officeDocument/2006/relationships/hyperlink" Id="rId181" Target="https://doi.org/10.1016/j.urolonc.2009.07.020" TargetMode="External" /><Relationship Type="http://schemas.openxmlformats.org/officeDocument/2006/relationships/hyperlink" Id="rId189" Target="https://doi.org/10.1038/s41389-023-00489-9" TargetMode="External" /><Relationship Type="http://schemas.openxmlformats.org/officeDocument/2006/relationships/hyperlink" Id="rId185" Target="https://doi.org/10.1038/s41585-023-00806-2" TargetMode="External" /><Relationship Type="http://schemas.openxmlformats.org/officeDocument/2006/relationships/hyperlink" Id="rId175" Target="https://doi.org/10.1038/s41598-018-19199-z" TargetMode="External" /><Relationship Type="http://schemas.openxmlformats.org/officeDocument/2006/relationships/hyperlink" Id="rId207" Target="https://doi.org/10.1038/s41598-018-29987-2" TargetMode="External" /><Relationship Type="http://schemas.openxmlformats.org/officeDocument/2006/relationships/hyperlink" Id="rId129" Target="https://doi.org/10.1038/s41598-025-92033-5" TargetMode="External" /><Relationship Type="http://schemas.openxmlformats.org/officeDocument/2006/relationships/hyperlink" Id="rId193" Target="https://doi.org/10.1093/jnci/djw099" TargetMode="External" /><Relationship Type="http://schemas.openxmlformats.org/officeDocument/2006/relationships/hyperlink" Id="rId131" Target="https://doi.org/10.1097/mou.0000000000000078" TargetMode="External" /><Relationship Type="http://schemas.openxmlformats.org/officeDocument/2006/relationships/hyperlink" Id="rId177" Target="https://doi.org/10.1186/s40779-024-00569-w" TargetMode="External" /><Relationship Type="http://schemas.openxmlformats.org/officeDocument/2006/relationships/hyperlink" Id="rId191" Target="https://doi.org/10.1200/JCO.2025.43.16_suppl.e16612" TargetMode="External" /><Relationship Type="http://schemas.openxmlformats.org/officeDocument/2006/relationships/hyperlink" Id="rId195" Target="https://doi.org/10.1289/ehp89" TargetMode="External" /><Relationship Type="http://schemas.openxmlformats.org/officeDocument/2006/relationships/hyperlink" Id="rId187" Target="https://doi.org/10.3233/blc-190221" TargetMode="External" /><Relationship Type="http://schemas.openxmlformats.org/officeDocument/2006/relationships/hyperlink" Id="rId149" Target="https://doi.org/10.3233/blc-230062" TargetMode="External" /><Relationship Type="http://schemas.openxmlformats.org/officeDocument/2006/relationships/hyperlink" Id="rId127" Target="https://doi.org/10.3322/caac.21660" TargetMode="External" /><Relationship Type="http://schemas.openxmlformats.org/officeDocument/2006/relationships/hyperlink" Id="rId141" Target="https://doi.org/10.3389/fpubh.2024.1354663" TargetMode="External" /><Relationship Type="http://schemas.openxmlformats.org/officeDocument/2006/relationships/hyperlink" Id="rId201" Target="https://doi.org/10.4111/icu.20230125" TargetMode="External" /><Relationship Type="http://schemas.openxmlformats.org/officeDocument/2006/relationships/hyperlink" Id="rId171" Target="https://doi.org/10.5281/zenodo.23814418" TargetMode="External" /><Relationship Type="http://schemas.openxmlformats.org/officeDocument/2006/relationships/hyperlink" Id="rId55" Target="https://ghdx.healthdata.org/" TargetMode="External" /><Relationship Type="http://schemas.openxmlformats.org/officeDocument/2006/relationships/hyperlink" Id="rId163" Target="https://ghdx.healthdata.org/node/548352" TargetMode="External" /><Relationship Type="http://schemas.openxmlformats.org/officeDocument/2006/relationships/hyperlink" Id="rId61" Target="https://github.com/alireza5969/gbd-bladder-cancer" TargetMode="External" /><Relationship Type="http://schemas.openxmlformats.org/officeDocument/2006/relationships/hyperlink" Id="rId104" Target="https://github.com/alireza5969/gbd-bladder-cancer/raw/refs/heads/main/output/tables/Percent%20change%201990-2021%20in%20Bladder%20cancer%20measures.docx" TargetMode="External" /><Relationship Type="http://schemas.openxmlformats.org/officeDocument/2006/relationships/hyperlink" Id="rId101" Target="https://github.com/alireza5969/gbd-bladder-cancer/raw/refs/heads/main/output/tables/percent_change_all_locations.csv" TargetMode="External" /><Relationship Type="http://schemas.openxmlformats.org/officeDocument/2006/relationships/hyperlink" Id="rId103" Target="https://github.com/alireza5969/gbd-bladder-cancer/raw/refs/heads/main/output/tables/sex_ratios_2021.csv" TargetMode="External" /><Relationship Type="http://schemas.openxmlformats.org/officeDocument/2006/relationships/hyperlink" Id="rId107" Target="https://github.com/alireza5969/gbd-bladder-cancer/tree/main/output/figures/APC%20plot%201" TargetMode="External" /><Relationship Type="http://schemas.openxmlformats.org/officeDocument/2006/relationships/hyperlink" Id="rId109" Target="https://github.com/alireza5969/gbd-bladder-cancer/tree/main/output/figures/Bump%20plot" TargetMode="External" /><Relationship Type="http://schemas.openxmlformats.org/officeDocument/2006/relationships/hyperlink" Id="rId108" Target="https://github.com/alireza5969/gbd-bladder-cancer/tree/main/output/figures/Geofacet%20plot" TargetMode="External" /><Relationship Type="http://schemas.openxmlformats.org/officeDocument/2006/relationships/hyperlink" Id="rId105" Target="https://github.com/alireza5969/gbd-bladder-cancer/tree/main/output/figures/Population%20pyramid%20-%202021" TargetMode="External" /><Relationship Type="http://schemas.openxmlformats.org/officeDocument/2006/relationships/hyperlink" Id="rId106" Target="https://github.com/alireza5969/gbd-bladder-cancer/tree/main/output/figures/Population%20pyramid%20-%20animated" TargetMode="External" /><Relationship Type="http://schemas.openxmlformats.org/officeDocument/2006/relationships/hyperlink" Id="rId48" Target="https://orcid.org/" TargetMode="External" /><Relationship Type="http://schemas.openxmlformats.org/officeDocument/2006/relationships/hyperlink" Id="rId50" Target="https://orcid.org/0000-0002-2683-2185" TargetMode="External" /><Relationship Type="http://schemas.openxmlformats.org/officeDocument/2006/relationships/hyperlink" Id="rId42" Target="https://orcid.org/0000-0002-4878-7848" TargetMode="External" /><Relationship Type="http://schemas.openxmlformats.org/officeDocument/2006/relationships/hyperlink" Id="rId40" Target="https://orcid.org/0000-0002-7950-3270" TargetMode="External" /><Relationship Type="http://schemas.openxmlformats.org/officeDocument/2006/relationships/hyperlink" Id="rId51" Target="https://orcid.org/0000-0002-8350-0531" TargetMode="External" /><Relationship Type="http://schemas.openxmlformats.org/officeDocument/2006/relationships/hyperlink" Id="rId46" Target="https://orcid.org/0000-0002-8438-4990" TargetMode="External" /><Relationship Type="http://schemas.openxmlformats.org/officeDocument/2006/relationships/hyperlink" Id="rId44" Target="https://orcid.org/0000-0002-9866-8361" TargetMode="External" /><Relationship Type="http://schemas.openxmlformats.org/officeDocument/2006/relationships/hyperlink" Id="rId125" Target="https://seer.cancer.gov/statfacts/html/urinb.html" TargetMode="External" /><Relationship Type="http://schemas.openxmlformats.org/officeDocument/2006/relationships/hyperlink" Id="rId147" Target="https://statecancerprofiles.cancer.gov/index.html" TargetMode="External" /><Relationship Type="http://schemas.openxmlformats.org/officeDocument/2006/relationships/hyperlink" Id="rId123" Target="https://www.cancer.org/research/cancer-facts-statistics/all-cancer-facts-figures/2026-cancer-facts-figures.html" TargetMode="External" /><Relationship Type="http://schemas.openxmlformats.org/officeDocument/2006/relationships/hyperlink" Id="rId179" Target="https://www.census.gov/newsroom/press-releases/2023/2020-census-demographic-profile-and-dhc.html" TargetMode="External" /><Relationship Type="http://schemas.openxmlformats.org/officeDocument/2006/relationships/hyperlink" Id="rId173" Target="https://www.sciencedirect.com/science/article/pii/S1078143911002808" TargetMode="External" /><Relationship Type="http://schemas.openxmlformats.org/officeDocument/2006/relationships/hyperlink" Id="rId137" Target="https://www.sciencedirect.com/science/article/pii/S1078143924004204" TargetMode="External" /><Relationship Type="http://schemas.openxmlformats.org/officeDocument/2006/relationships/hyperlink" Id="rId39" Target="mailto:Wassim.Kassouf.med@ssss.gouv.qc.ca" TargetMode="External" /><Relationship Type="http://schemas.openxmlformats.org/officeDocument/2006/relationships/hyperlink" Id="rId38" Target="mailto:alireza.sadeghi.md@gmail.com" TargetMode="External" /><Relationship Type="http://schemas.openxmlformats.org/officeDocument/2006/relationships/hyperlink" Id="rId45" Target="mailto:etaherim123@gmail.com" TargetMode="External" /><Relationship Type="http://schemas.openxmlformats.org/officeDocument/2006/relationships/hyperlink" Id="rId43" Target="mailto:niloofar.dehdari6021@gmail.com" TargetMode="External" /><Relationship Type="http://schemas.openxmlformats.org/officeDocument/2006/relationships/hyperlink" Id="rId41" Target="mailto:nouri.fatmh@gmail.com" TargetMode="External" /><Relationship Type="http://schemas.openxmlformats.org/officeDocument/2006/relationships/hyperlink" Id="rId47" Target="mailto:soltani732003@yahoo.com" TargetMode="External" /><Relationship Type="http://schemas.openxmlformats.org/officeDocument/2006/relationships/hyperlink" Id="rId49" Target="mailto:stbwilli@utmb.edu"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32</TotalTime>
  <Application>LibreOffice/26.2.4.2$Linux_X86_64 LibreOffice_project/620$Build-2</Application>
  <AppVersion>15.0000</AppVersion>
  <Pages>47</Pages>
  <Words>7005</Words>
  <Characters>42805</Characters>
  <CharactersWithSpaces>49662</CharactersWithSpaces>
  <Paragraphs>220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Estimated Burden of Bladder Cancer in the United States and Its States, 1990–2021: A Descriptive Analysis of the Global Burden of Disease (GBD) Study 2021</dc:title>
  <dc:creator>Alireza Sadeghi1,✉, Fatemeh Nouri1, Niloofar Dehdari Ebrahimi1, Ehsan Taherifard1, Mohammadreza Soltani3, Stephen B. Williams4, and Wassim Kassouf2,✉</dc:creator>
  <cp:keywords>bladder cancer, global burden of disease, United States of America, incidence, mortality, prevalence</cp:keywords>
  <dcterms:created xsi:type="dcterms:W3CDTF">2026-10-31T13:27:04Z</dcterms:created>
  <dcterms:modified xsi:type="dcterms:W3CDTF">2026-10-31T13:27:04Z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
  </property>
  <property fmtid="{D5CDD505-2E9C-101B-9397-08002B2CF9AE}" pid="5" name="by-affiliation">
    <vt:lpwstr/>
  </property>
  <property fmtid="{D5CDD505-2E9C-101B-9397-08002B2CF9AE}" pid="6" name="by-author">
    <vt:lpwstr/>
  </property>
  <property fmtid="{D5CDD505-2E9C-101B-9397-08002B2CF9AE}" pid="7" name="clear-hidden-classes">
    <vt:lpwstr>none</vt:lpwstr>
  </property>
  <property fmtid="{D5CDD505-2E9C-101B-9397-08002B2CF9AE}" pid="8" name="csl">
    <vt:lpwstr>vancouver.csl</vt:lpwstr>
  </property>
  <property fmtid="{D5CDD505-2E9C-101B-9397-08002B2CF9AE}" pid="9" name="editor">
    <vt:lpwstr/>
  </property>
  <property fmtid="{D5CDD505-2E9C-101B-9397-08002B2CF9AE}" pid="10" name="editor_options">
    <vt:lpwstr/>
  </property>
  <property fmtid="{D5CDD505-2E9C-101B-9397-08002B2CF9AE}" pid="11" name="execute">
    <vt:lpwstr/>
  </property>
  <property fmtid="{D5CDD505-2E9C-101B-9397-08002B2CF9AE}" pid="12" name="google-scholar">
    <vt:lpwstr>True</vt:lpwstr>
  </property>
  <property fmtid="{D5CDD505-2E9C-101B-9397-08002B2CF9AE}" pid="13" name="header-includes">
    <vt:lpwstr/>
  </property>
  <property fmtid="{D5CDD505-2E9C-101B-9397-08002B2CF9AE}" pid="14" name="include-after">
    <vt:lpwstr/>
  </property>
  <property fmtid="{D5CDD505-2E9C-101B-9397-08002B2CF9AE}" pid="15" name="include-before">
    <vt:lpwstr/>
  </property>
  <property fmtid="{D5CDD505-2E9C-101B-9397-08002B2CF9AE}" pid="16" name="labels">
    <vt:lpwstr/>
  </property>
  <property fmtid="{D5CDD505-2E9C-101B-9397-08002B2CF9AE}" pid="17" name="license">
    <vt:lpwstr/>
  </property>
  <property fmtid="{D5CDD505-2E9C-101B-9397-08002B2CF9AE}" pid="18" name="lightbox">
    <vt:lpwstr>auto</vt:lpwstr>
  </property>
  <property fmtid="{D5CDD505-2E9C-101B-9397-08002B2CF9AE}" pid="19" name="manuscript">
    <vt:lpwstr/>
  </property>
  <property fmtid="{D5CDD505-2E9C-101B-9397-08002B2CF9AE}" pid="20" name="notebook-preview-options">
    <vt:lpwstr/>
  </property>
  <property fmtid="{D5CDD505-2E9C-101B-9397-08002B2CF9AE}" pid="21" name="quarto-internal">
    <vt:lpwstr/>
  </property>
  <property fmtid="{D5CDD505-2E9C-101B-9397-08002B2CF9AE}" pid="22" name="remove-hidden">
    <vt:lpwstr>all</vt:lpwstr>
  </property>
  <property fmtid="{D5CDD505-2E9C-101B-9397-08002B2CF9AE}" pid="23" name="subtitle">
    <vt:lpwstr>Burden of Bladder Cancer in the United States</vt:lpwstr>
  </property>
  <property fmtid="{D5CDD505-2E9C-101B-9397-08002B2CF9AE}" pid="24" name="template-partials">
    <vt:lpwstr/>
  </property>
  <property fmtid="{D5CDD505-2E9C-101B-9397-08002B2CF9AE}" pid="25" name="theme">
    <vt:lpwstr>cosmo</vt:lpwstr>
  </property>
  <property fmtid="{D5CDD505-2E9C-101B-9397-08002B2CF9AE}" pid="26" name="title-block-style">
    <vt:lpwstr>manuscript</vt:lpwstr>
  </property>
  <property fmtid="{D5CDD505-2E9C-101B-9397-08002B2CF9AE}" pid="27" name="toc-title">
    <vt:lpwstr>Table of contents</vt:lpwstr>
  </property>
  <property fmtid="{D5CDD505-2E9C-101B-9397-08002B2CF9AE}" pid="28" name="unroll-markdown-cells">
    <vt:lpwstr>True</vt:lpwstr>
  </property>
</Properties>
</file>